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Phase 8: Identifier Detection, Classification &amp; Surrogate Tokenisation Architecture</w:t>
      </w:r>
    </w:p>
    <w:p>
      <w:pPr>
        <w:pStyle w:val="Heading2"/>
        <w:spacing w:after="100" w:before="240"/>
      </w:pPr>
      <w:r>
        <w:rPr>
          <w:rFonts w:ascii="Calibri" w:cs="Calibri" w:eastAsia="Calibri" w:hAnsi="Calibri"/>
          <w:b/>
          <w:bCs/>
          <w:color w:val="006699"/>
          <w:sz w:val="27"/>
          <w:szCs w:val="27"/>
        </w:rPr>
        <w:t xml:space="preserve">1. Overview &amp; Regulatory Rationale</w:t>
      </w:r>
    </w:p>
    <w:p>
      <w:pPr>
        <w:spacing w:after="100" w:line="270"/>
      </w:pPr>
      <w:r>
        <w:rPr>
          <w:rFonts w:ascii="Calibri" w:cs="Calibri" w:eastAsia="Calibri" w:hAnsi="Calibri"/>
          <w:color w:val="222222"/>
          <w:sz w:val="21"/>
          <w:szCs w:val="21"/>
        </w:rPr>
        <w:t xml:space="preserve">Case Ace v2.0 handles special category data under UK GDPR Article 9 and Data Protection Act 2018 Schedule 1 (advice and assistance provided by not-for-profit bodies). To protect client privacy and comply with the </w:t>
      </w:r>
      <w:r>
        <w:rPr>
          <w:rFonts w:ascii="Calibri" w:cs="Calibri" w:eastAsia="Calibri" w:hAnsi="Calibri"/>
          <w:b/>
          <w:bCs/>
          <w:color w:val="222222"/>
          <w:sz w:val="21"/>
          <w:szCs w:val="21"/>
        </w:rPr>
        <w:t xml:space="preserve">C1 Volatile Memory</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Zero Direct Data Transmission</w:t>
      </w:r>
      <w:r>
        <w:rPr>
          <w:rFonts w:ascii="Calibri" w:cs="Calibri" w:eastAsia="Calibri" w:hAnsi="Calibri"/>
          <w:color w:val="222222"/>
          <w:sz w:val="21"/>
          <w:szCs w:val="21"/>
        </w:rPr>
        <w:t xml:space="preserve"> invariants, all personal identifiable information (PII) and special category elements are detected, classified, and tokenised before any acoustic redaction (Phase 9) or cloud model interaction (Phase 10).</w:t>
      </w:r>
    </w:p>
    <w:p>
      <w:pPr>
        <w:spacing w:after="100" w:line="270"/>
      </w:pPr>
      <w:r>
        <w:rPr>
          <w:rFonts w:ascii="Calibri" w:cs="Calibri" w:eastAsia="Calibri" w:hAnsi="Calibri"/>
          <w:color w:val="222222"/>
          <w:sz w:val="21"/>
          <w:szCs w:val="21"/>
        </w:rPr>
        <w:t xml:space="preserve">The system prioritises </w:t>
      </w:r>
      <w:r>
        <w:rPr>
          <w:rFonts w:ascii="Calibri" w:cs="Calibri" w:eastAsia="Calibri" w:hAnsi="Calibri"/>
          <w:b/>
          <w:bCs/>
          <w:color w:val="222222"/>
          <w:sz w:val="21"/>
          <w:szCs w:val="21"/>
        </w:rPr>
        <w:t xml:space="preserve">recall over precision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Asymmetric Cost Model</w:t>
      </w:r>
      <w:r>
        <w:rPr>
          <w:rFonts w:ascii="Calibri" w:cs="Calibri" w:eastAsia="Calibri" w:hAnsi="Calibri"/>
          <w:color w:val="222222"/>
          <w:sz w:val="21"/>
          <w:szCs w:val="21"/>
        </w:rPr>
        <w:t xml:space="preserve">: A false positive costs the adviser a single click to override or refine. A false negative risks sending real client names or identifier data to an external processor.</w:t>
      </w:r>
    </w:p>
    <w:p>
      <w:pPr>
        <w:pStyle w:val="ListParagraph"/>
        <w:numPr>
          <w:ilvl w:val="0"/>
          <w:numId w:val="1"/>
        </w:numPr>
        <w:spacing w:after="60" w:line="260"/>
      </w:pPr>
      <w:r>
        <w:rPr>
          <w:rFonts w:ascii="Calibri" w:cs="Calibri" w:eastAsia="Calibri" w:hAnsi="Calibri"/>
          <w:b/>
          <w:bCs/>
          <w:color w:val="222222"/>
          <w:sz w:val="21"/>
          <w:szCs w:val="21"/>
        </w:rPr>
        <w:t xml:space="preserve">Equal Protection for Third Parties</w:t>
      </w:r>
      <w:r>
        <w:rPr>
          <w:rFonts w:ascii="Calibri" w:cs="Calibri" w:eastAsia="Calibri" w:hAnsi="Calibri"/>
          <w:color w:val="222222"/>
          <w:sz w:val="21"/>
          <w:szCs w:val="21"/>
        </w:rPr>
        <w:t xml:space="preserve">: Case notes frequently mention third parties (abusive ex-partners, landlords, children, social workers, officials). Detection treats all named individuals as equal first-class targets for redaction.</w:t>
      </w:r>
    </w:p>
    <w:p>
      <w:pPr>
        <w:pStyle w:val="ListParagraph"/>
        <w:numPr>
          <w:ilvl w:val="0"/>
          <w:numId w:val="1"/>
        </w:numPr>
        <w:spacing w:after="60" w:line="260"/>
      </w:pPr>
      <w:r>
        <w:rPr>
          <w:rFonts w:ascii="Calibri" w:cs="Calibri" w:eastAsia="Calibri" w:hAnsi="Calibri"/>
          <w:b/>
          <w:bCs/>
          <w:color w:val="222222"/>
          <w:sz w:val="21"/>
          <w:szCs w:val="21"/>
        </w:rPr>
        <w:t xml:space="preserve">Transparent Consequence Cards for Special Category Data</w:t>
      </w:r>
      <w:r>
        <w:rPr>
          <w:rFonts w:ascii="Calibri" w:cs="Calibri" w:eastAsia="Calibri" w:hAnsi="Calibri"/>
          <w:color w:val="222222"/>
          <w:sz w:val="21"/>
          <w:szCs w:val="21"/>
        </w:rPr>
        <w:t xml:space="preserve">: Redacting substance such as </w:t>
      </w:r>
      <w:r>
        <w:rPr>
          <w:rFonts w:ascii="Calibri" w:cs="Calibri" w:eastAsia="Calibri" w:hAnsi="Calibri"/>
          <w:i/>
          <w:iCs/>
          <w:color w:val="222222"/>
          <w:sz w:val="21"/>
          <w:szCs w:val="21"/>
        </w:rPr>
        <w:t xml:space="preserve">“the client has a diagnosis of paranoid schizophrenia and was sectioned in March”</w:t>
      </w:r>
      <w:r>
        <w:rPr>
          <w:rFonts w:ascii="Calibri" w:cs="Calibri" w:eastAsia="Calibri" w:hAnsi="Calibri"/>
          <w:color w:val="222222"/>
          <w:sz w:val="21"/>
          <w:szCs w:val="21"/>
        </w:rPr>
        <w:t xml:space="preserve"> destroys the utility of an AQS Level 3 case note. The system flags special category elements for adviser decision, explicitly disclosing the consequence of redaction (loss of clinical substance) vs retention (privacy disclosure), defaulting to tokenising identifiers while preserving clinical meaning.</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2. Multi-Layer Detection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                                  Pass 1 Raw Transcript</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        Layer 1        │   │        Layer 2         │   │         Layer 3         │</w:t>
            </w:r>
          </w:p>
          <w:p>
            <w:pPr>
              <w:spacing w:after="30" w:line="230"/>
            </w:pPr>
            <w:r>
              <w:rPr>
                <w:rFonts w:ascii="Consolas" w:cs="Consolas" w:eastAsia="Consolas" w:hAnsi="Consolas"/>
                <w:color w:val="1E293B"/>
                <w:sz w:val="18"/>
                <w:szCs w:val="18"/>
              </w:rPr>
              <w:t xml:space="preserve">   │ Structured Patterns   │   │ Unstructured NER       │   │ Special Category        │</w:t>
            </w:r>
          </w:p>
          <w:p>
            <w:pPr>
              <w:spacing w:after="30" w:line="230"/>
            </w:pPr>
            <w:r>
              <w:rPr>
                <w:rFonts w:ascii="Consolas" w:cs="Consolas" w:eastAsia="Consolas" w:hAnsi="Consolas"/>
                <w:color w:val="1E293B"/>
                <w:sz w:val="18"/>
                <w:szCs w:val="18"/>
              </w:rPr>
              <w:t xml:space="preserve">   │ (Deterministic Regex) │   │ (Local Dict &amp; Context) │   │ (Clinical &amp; Legal Flags)│</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  - NINO (inc. spoken)     │  - Client / Partner Names   │  - Health / Mental Health</w:t>
            </w:r>
          </w:p>
          <w:p>
            <w:pPr>
              <w:spacing w:after="30" w:line="230"/>
            </w:pPr>
            <w:r>
              <w:rPr>
                <w:rFonts w:ascii="Consolas" w:cs="Consolas" w:eastAsia="Consolas" w:hAnsi="Consolas"/>
                <w:color w:val="1E293B"/>
                <w:sz w:val="18"/>
                <w:szCs w:val="18"/>
              </w:rPr>
              <w:t xml:space="preserve">               │  - Postcodes (BS 7666)    │  - Abusive Ex-Partners      │  - Domestic Abuse / MARAC</w:t>
            </w:r>
          </w:p>
          <w:p>
            <w:pPr>
              <w:spacing w:after="30" w:line="230"/>
            </w:pPr>
            <w:r>
              <w:rPr>
                <w:rFonts w:ascii="Consolas" w:cs="Consolas" w:eastAsia="Consolas" w:hAnsi="Consolas"/>
                <w:color w:val="1E293B"/>
                <w:sz w:val="18"/>
                <w:szCs w:val="18"/>
              </w:rPr>
              <w:t xml:space="preserve">               │  - Phone / Email          │  - Children / Landlords     │  - Immigration / NRPF</w:t>
            </w:r>
          </w:p>
          <w:p>
            <w:pPr>
              <w:spacing w:after="30" w:line="230"/>
            </w:pPr>
            <w:r>
              <w:rPr>
                <w:rFonts w:ascii="Consolas" w:cs="Consolas" w:eastAsia="Consolas" w:hAnsi="Consolas"/>
                <w:color w:val="1E293B"/>
                <w:sz w:val="18"/>
                <w:szCs w:val="18"/>
              </w:rPr>
              <w:t xml:space="preserve">               │  - NHS No (Modulus 11)    │  - Social Workers / Judges  │  - Criminal Justice</w:t>
            </w:r>
          </w:p>
          <w:p>
            <w:pPr>
              <w:spacing w:after="30" w:line="230"/>
            </w:pPr>
            <w:r>
              <w:rPr>
                <w:rFonts w:ascii="Consolas" w:cs="Consolas" w:eastAsia="Consolas" w:hAnsi="Consolas"/>
                <w:color w:val="1E293B"/>
                <w:sz w:val="18"/>
                <w:szCs w:val="18"/>
              </w:rPr>
              <w:t xml:space="preserve">               │  - Sort Code / Bank Acct  │  - Schools / Refuges        │  - Child Protection</w:t>
            </w:r>
          </w:p>
          <w:p>
            <w:pPr>
              <w:spacing w:after="30" w:line="230"/>
            </w:pPr>
            <w:r>
              <w:rPr>
                <w:rFonts w:ascii="Consolas" w:cs="Consolas" w:eastAsia="Consolas" w:hAnsi="Consolas"/>
                <w:color w:val="1E293B"/>
                <w:sz w:val="18"/>
                <w:szCs w:val="18"/>
              </w:rPr>
              <w:t xml:space="preserve">               │  - Benefit / Court Refs   │  - Granular Locations       │  - Trade Union / Religion</w:t>
            </w:r>
          </w:p>
          <w:p>
            <w:pPr>
              <w:spacing w:after="30" w:line="230"/>
            </w:pPr>
            <w:r>
              <w:rPr>
                <w:rFonts w:ascii="Consolas" w:cs="Consolas" w:eastAsia="Consolas" w:hAnsi="Consolas"/>
                <w:color w:val="1E293B"/>
                <w:sz w:val="18"/>
                <w:szCs w:val="18"/>
              </w:rPr>
              <w:t xml:space="preserve">               │  - Dates of Birth (DOB)   │  - Distinctive Occupations  │  - Consequence Cards</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IdentifierEngine        │</w:t>
            </w:r>
          </w:p>
          <w:p>
            <w:pPr>
              <w:spacing w:after="30" w:line="230"/>
            </w:pPr>
            <w:r>
              <w:rPr>
                <w:rFonts w:ascii="Consolas" w:cs="Consolas" w:eastAsia="Consolas" w:hAnsi="Consolas"/>
                <w:color w:val="1E293B"/>
                <w:sz w:val="18"/>
                <w:szCs w:val="18"/>
              </w:rPr>
              <w:t xml:space="preserve">                            │  - Overlap Conflict Resolver │</w:t>
            </w:r>
          </w:p>
          <w:p>
            <w:pPr>
              <w:spacing w:after="30" w:line="230"/>
            </w:pPr>
            <w:r>
              <w:rPr>
                <w:rFonts w:ascii="Consolas" w:cs="Consolas" w:eastAsia="Consolas" w:hAnsi="Consolas"/>
                <w:color w:val="1E293B"/>
                <w:sz w:val="18"/>
                <w:szCs w:val="18"/>
              </w:rPr>
              <w:t xml:space="preserve">                            │  - ASR Audio Time Projector  │</w:t>
            </w:r>
          </w:p>
          <w:p>
            <w:pPr>
              <w:spacing w:after="30" w:line="230"/>
            </w:pPr>
            <w:r>
              <w:rPr>
                <w:rFonts w:ascii="Consolas" w:cs="Consolas" w:eastAsia="Consolas" w:hAnsi="Consolas"/>
                <w:color w:val="1E293B"/>
                <w:sz w:val="18"/>
                <w:szCs w:val="18"/>
              </w:rPr>
              <w:t xml:space="preserve">                            │  - Surrogate Token Generator │</w:t>
            </w:r>
          </w:p>
          <w:p>
            <w:pPr>
              <w:spacing w:after="30" w:line="230"/>
            </w:pPr>
            <w:r>
              <w:rPr>
                <w:rFonts w:ascii="Consolas" w:cs="Consolas" w:eastAsia="Consolas" w:hAnsi="Consolas"/>
                <w:color w:val="1E293B"/>
                <w:sz w:val="18"/>
                <w:szCs w:val="18"/>
              </w:rPr>
              <w:t xml:space="preserve">                            │  - Non-Mutating Tokeniser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w:t>
            </w:r>
          </w:p>
          <w:p>
            <w:pPr>
              <w:spacing w:after="30" w:line="230"/>
            </w:pPr>
            <w:r>
              <w:rPr>
                <w:rFonts w:ascii="Consolas" w:cs="Consolas" w:eastAsia="Consolas" w:hAnsi="Consolas"/>
                <w:color w:val="1E293B"/>
                <w:sz w:val="18"/>
                <w:szCs w:val="18"/>
              </w:rPr>
              <w:t xml:space="preserve">            Volatile Session Store                 Adviser Review Panel</w:t>
            </w:r>
          </w:p>
          <w:p>
            <w:pPr>
              <w:spacing w:after="30" w:line="230"/>
            </w:pPr>
            <w:r>
              <w:rPr>
                <w:rFonts w:ascii="Consolas" w:cs="Consolas" w:eastAsia="Consolas" w:hAnsi="Consolas"/>
                <w:color w:val="1E293B"/>
                <w:sz w:val="18"/>
                <w:szCs w:val="18"/>
              </w:rPr>
              <w:t xml:space="preserve">            (Token Map, Audio Ranges)             (Interactive Toggles)</w:t>
            </w:r>
          </w:p>
        </w:tc>
      </w:tr>
    </w:tbl>
    <w:p>
      <w:pPr>
        <w:spacing w:after="120"/>
      </w:pPr>
    </w:p>
    <w:p>
      <w:pPr>
        <w:pStyle w:val="Heading3"/>
        <w:spacing w:after="80" w:before="180"/>
      </w:pPr>
      <w:r>
        <w:rPr>
          <w:rFonts w:ascii="Calibri" w:cs="Calibri" w:eastAsia="Calibri" w:hAnsi="Calibri"/>
          <w:b/>
          <w:bCs/>
          <w:color w:val="1C355E"/>
          <w:sz w:val="23"/>
          <w:szCs w:val="23"/>
        </w:rPr>
        <w:t xml:space="preserve">Layer 1: Deterministic Structured Identifiers (Target: 100% Recall)</w:t>
      </w:r>
    </w:p>
    <w:p>
      <w:pPr>
        <w:pStyle w:val="ListParagraph"/>
        <w:numPr>
          <w:ilvl w:val="0"/>
          <w:numId w:val="1"/>
        </w:numPr>
        <w:spacing w:after="60" w:line="260"/>
      </w:pPr>
      <w:r>
        <w:rPr>
          <w:rFonts w:ascii="Calibri" w:cs="Calibri" w:eastAsia="Calibri" w:hAnsi="Calibri"/>
          <w:b/>
          <w:bCs/>
          <w:color w:val="222222"/>
          <w:sz w:val="21"/>
          <w:szCs w:val="21"/>
        </w:rPr>
        <w:t xml:space="preserve">National Insurance Number (NINO)</w:t>
      </w:r>
      <w:r>
        <w:rPr>
          <w:rFonts w:ascii="Calibri" w:cs="Calibri" w:eastAsia="Calibri" w:hAnsi="Calibri"/>
          <w:color w:val="222222"/>
          <w:sz w:val="21"/>
          <w:szCs w:val="21"/>
        </w:rPr>
        <w:t xml:space="preserve">: Standard alphanumeric format (</w:t>
      </w:r>
      <w:r>
        <w:rPr>
          <w:rFonts w:ascii="Consolas" w:cs="Consolas" w:eastAsia="Consolas" w:hAnsi="Consolas"/>
          <w:color w:val="0F172A"/>
          <w:sz w:val="19"/>
          <w:szCs w:val="19"/>
          <w:shd w:fill="E2E8F0" w:val="clear"/>
        </w:rPr>
        <w:t xml:space="preserve">QQ 12 34 56 C</w:t>
      </w:r>
      <w:r>
        <w:rPr>
          <w:rFonts w:ascii="Calibri" w:cs="Calibri" w:eastAsia="Calibri" w:hAnsi="Calibri"/>
          <w:color w:val="222222"/>
          <w:sz w:val="21"/>
          <w:szCs w:val="21"/>
        </w:rPr>
        <w:t xml:space="preserve">) and spoken verbalizations (</w:t>
      </w:r>
      <w:r>
        <w:rPr>
          <w:rFonts w:ascii="Consolas" w:cs="Consolas" w:eastAsia="Consolas" w:hAnsi="Consolas"/>
          <w:color w:val="0F172A"/>
          <w:sz w:val="19"/>
          <w:szCs w:val="19"/>
          <w:shd w:fill="E2E8F0" w:val="clear"/>
        </w:rPr>
        <w:t xml:space="preserve">QQ one two three four five six A</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UK Postcodes</w:t>
      </w:r>
      <w:r>
        <w:rPr>
          <w:rFonts w:ascii="Calibri" w:cs="Calibri" w:eastAsia="Calibri" w:hAnsi="Calibri"/>
          <w:color w:val="222222"/>
          <w:sz w:val="21"/>
          <w:szCs w:val="21"/>
        </w:rPr>
        <w:t xml:space="preserve">: Standard BS 7666 formats (</w:t>
      </w:r>
      <w:r>
        <w:rPr>
          <w:rFonts w:ascii="Consolas" w:cs="Consolas" w:eastAsia="Consolas" w:hAnsi="Consolas"/>
          <w:color w:val="0F172A"/>
          <w:sz w:val="19"/>
          <w:szCs w:val="19"/>
          <w:shd w:fill="E2E8F0" w:val="clear"/>
        </w:rPr>
        <w:t xml:space="preserve">SW11 2AB</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EC1A 1BB</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CR2 6XH</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Telephone Numbers</w:t>
      </w:r>
      <w:r>
        <w:rPr>
          <w:rFonts w:ascii="Calibri" w:cs="Calibri" w:eastAsia="Calibri" w:hAnsi="Calibri"/>
          <w:color w:val="222222"/>
          <w:sz w:val="21"/>
          <w:szCs w:val="21"/>
        </w:rPr>
        <w:t xml:space="preserve">: Landlines (</w:t>
      </w:r>
      <w:r>
        <w:rPr>
          <w:rFonts w:ascii="Consolas" w:cs="Consolas" w:eastAsia="Consolas" w:hAnsi="Consolas"/>
          <w:color w:val="0F172A"/>
          <w:sz w:val="19"/>
          <w:szCs w:val="19"/>
          <w:shd w:fill="E2E8F0" w:val="clear"/>
        </w:rPr>
        <w:t xml:space="preserve">020 7924 1234</w:t>
      </w:r>
      <w:r>
        <w:rPr>
          <w:rFonts w:ascii="Calibri" w:cs="Calibri" w:eastAsia="Calibri" w:hAnsi="Calibri"/>
          <w:color w:val="222222"/>
          <w:sz w:val="21"/>
          <w:szCs w:val="21"/>
        </w:rPr>
        <w:t xml:space="preserve">), mobiles (</w:t>
      </w:r>
      <w:r>
        <w:rPr>
          <w:rFonts w:ascii="Consolas" w:cs="Consolas" w:eastAsia="Consolas" w:hAnsi="Consolas"/>
          <w:color w:val="0F172A"/>
          <w:sz w:val="19"/>
          <w:szCs w:val="19"/>
          <w:shd w:fill="E2E8F0" w:val="clear"/>
        </w:rPr>
        <w:t xml:space="preserve">07700 900123</w:t>
      </w:r>
      <w:r>
        <w:rPr>
          <w:rFonts w:ascii="Calibri" w:cs="Calibri" w:eastAsia="Calibri" w:hAnsi="Calibri"/>
          <w:color w:val="222222"/>
          <w:sz w:val="21"/>
          <w:szCs w:val="21"/>
        </w:rPr>
        <w:t xml:space="preserve">), international prefixes (</w:t>
      </w:r>
      <w:r>
        <w:rPr>
          <w:rFonts w:ascii="Consolas" w:cs="Consolas" w:eastAsia="Consolas" w:hAnsi="Consolas"/>
          <w:color w:val="0F172A"/>
          <w:sz w:val="19"/>
          <w:szCs w:val="19"/>
          <w:shd w:fill="E2E8F0" w:val="clear"/>
        </w:rPr>
        <w:t xml:space="preserve">+44</w:t>
      </w:r>
      <w:r>
        <w:rPr>
          <w:rFonts w:ascii="Calibri" w:cs="Calibri" w:eastAsia="Calibri" w:hAnsi="Calibri"/>
          <w:color w:val="222222"/>
          <w:sz w:val="21"/>
          <w:szCs w:val="21"/>
        </w:rPr>
        <w:t xml:space="preserve">), and spoken digit sequences.</w:t>
      </w:r>
    </w:p>
    <w:p>
      <w:pPr>
        <w:pStyle w:val="ListParagraph"/>
        <w:numPr>
          <w:ilvl w:val="0"/>
          <w:numId w:val="1"/>
        </w:numPr>
        <w:spacing w:after="60" w:line="260"/>
      </w:pPr>
      <w:r>
        <w:rPr>
          <w:rFonts w:ascii="Calibri" w:cs="Calibri" w:eastAsia="Calibri" w:hAnsi="Calibri"/>
          <w:b/>
          <w:bCs/>
          <w:color w:val="222222"/>
          <w:sz w:val="21"/>
          <w:szCs w:val="21"/>
        </w:rPr>
        <w:t xml:space="preserve">Email Addresses</w:t>
      </w:r>
      <w:r>
        <w:rPr>
          <w:rFonts w:ascii="Calibri" w:cs="Calibri" w:eastAsia="Calibri" w:hAnsi="Calibri"/>
          <w:color w:val="222222"/>
          <w:sz w:val="21"/>
          <w:szCs w:val="21"/>
        </w:rPr>
        <w:t xml:space="preserve">: Full RFC 5322 validation.</w:t>
      </w:r>
    </w:p>
    <w:p>
      <w:pPr>
        <w:pStyle w:val="ListParagraph"/>
        <w:numPr>
          <w:ilvl w:val="0"/>
          <w:numId w:val="1"/>
        </w:numPr>
        <w:spacing w:after="60" w:line="260"/>
      </w:pPr>
      <w:r>
        <w:rPr>
          <w:rFonts w:ascii="Calibri" w:cs="Calibri" w:eastAsia="Calibri" w:hAnsi="Calibri"/>
          <w:b/>
          <w:bCs/>
          <w:color w:val="222222"/>
          <w:sz w:val="21"/>
          <w:szCs w:val="21"/>
        </w:rPr>
        <w:t xml:space="preserve">NHS Number with Modulus 11 Checksum</w:t>
      </w:r>
      <w:r>
        <w:rPr>
          <w:rFonts w:ascii="Calibri" w:cs="Calibri" w:eastAsia="Calibri" w:hAnsi="Calibri"/>
          <w:color w:val="222222"/>
          <w:sz w:val="21"/>
          <w:szCs w:val="21"/>
        </w:rPr>
        <w:t xml:space="preserve">: 10-digit validation:</w:t>
      </w:r>
      <w:r>
        <w:br/>
      </w:r>
      <w:r>
        <w:rPr>
          <w:rFonts w:ascii="Calibri" w:cs="Calibri" w:eastAsia="Calibri" w:hAnsi="Calibri"/>
          <w:color w:val="222222"/>
          <w:sz w:val="21"/>
          <w:szCs w:val="21"/>
        </w:rPr>
        <w:t xml:space="preserve">$$\sum_{i=1}^9 d_i \times (11 - i) \pmod{11} = R$$</w:t>
      </w:r>
      <w:r>
        <w:br/>
      </w:r>
      <w:r>
        <w:rPr>
          <w:rFonts w:ascii="Calibri" w:cs="Calibri" w:eastAsia="Calibri" w:hAnsi="Calibri"/>
          <w:color w:val="222222"/>
          <w:sz w:val="21"/>
          <w:szCs w:val="21"/>
        </w:rPr>
        <w:t xml:space="preserve">$$\text{Check Digit} = 11 - R \quad (\text{if } R=0 \implies 0; \text{ if } R=1 \implies \text{invalid})$$</w:t>
      </w:r>
    </w:p>
    <w:p>
      <w:pPr>
        <w:pStyle w:val="ListParagraph"/>
        <w:numPr>
          <w:ilvl w:val="0"/>
          <w:numId w:val="1"/>
        </w:numPr>
        <w:spacing w:after="60" w:line="260"/>
      </w:pPr>
      <w:r>
        <w:rPr>
          <w:rFonts w:ascii="Calibri" w:cs="Calibri" w:eastAsia="Calibri" w:hAnsi="Calibri"/>
          <w:b/>
          <w:bCs/>
          <w:color w:val="222222"/>
          <w:sz w:val="21"/>
          <w:szCs w:val="21"/>
        </w:rPr>
        <w:t xml:space="preserve">Bank Sort Codes &amp; Account Numbers</w:t>
      </w:r>
      <w:r>
        <w:rPr>
          <w:rFonts w:ascii="Calibri" w:cs="Calibri" w:eastAsia="Calibri" w:hAnsi="Calibri"/>
          <w:color w:val="222222"/>
          <w:sz w:val="21"/>
          <w:szCs w:val="21"/>
        </w:rPr>
        <w:t xml:space="preserve">: 6-digit sort codes and 8-digit account numbers verified against financial context.</w:t>
      </w:r>
    </w:p>
    <w:p>
      <w:pPr>
        <w:pStyle w:val="ListParagraph"/>
        <w:numPr>
          <w:ilvl w:val="0"/>
          <w:numId w:val="1"/>
        </w:numPr>
        <w:spacing w:after="60" w:line="260"/>
      </w:pPr>
      <w:r>
        <w:rPr>
          <w:rFonts w:ascii="Calibri" w:cs="Calibri" w:eastAsia="Calibri" w:hAnsi="Calibri"/>
          <w:b/>
          <w:bCs/>
          <w:color w:val="222222"/>
          <w:sz w:val="21"/>
          <w:szCs w:val="21"/>
        </w:rPr>
        <w:t xml:space="preserve">DWP Benefit References</w:t>
      </w:r>
      <w:r>
        <w:rPr>
          <w:rFonts w:ascii="Calibri" w:cs="Calibri" w:eastAsia="Calibri" w:hAnsi="Calibri"/>
          <w:color w:val="222222"/>
          <w:sz w:val="21"/>
          <w:szCs w:val="21"/>
        </w:rPr>
        <w:t xml:space="preserve">: Universal Credit (</w:t>
      </w:r>
      <w:r>
        <w:rPr>
          <w:rFonts w:ascii="Consolas" w:cs="Consolas" w:eastAsia="Consolas" w:hAnsi="Consolas"/>
          <w:color w:val="0F172A"/>
          <w:sz w:val="19"/>
          <w:szCs w:val="19"/>
          <w:shd w:fill="E2E8F0" w:val="clear"/>
        </w:rPr>
        <w:t xml:space="preserve">UC-</w:t>
      </w:r>
      <w:r>
        <w:rPr>
          <w:rFonts w:ascii="Calibri" w:cs="Calibri" w:eastAsia="Calibri" w:hAnsi="Calibri"/>
          <w:color w:val="222222"/>
          <w:sz w:val="21"/>
          <w:szCs w:val="21"/>
        </w:rPr>
        <w:t xml:space="preserve">), PIP, ESA, DLA, JSA, DHP.</w:t>
      </w:r>
    </w:p>
    <w:p>
      <w:pPr>
        <w:pStyle w:val="ListParagraph"/>
        <w:numPr>
          <w:ilvl w:val="0"/>
          <w:numId w:val="1"/>
        </w:numPr>
        <w:spacing w:after="60" w:line="260"/>
      </w:pPr>
      <w:r>
        <w:rPr>
          <w:rFonts w:ascii="Calibri" w:cs="Calibri" w:eastAsia="Calibri" w:hAnsi="Calibri"/>
          <w:b/>
          <w:bCs/>
          <w:color w:val="222222"/>
          <w:sz w:val="21"/>
          <w:szCs w:val="21"/>
        </w:rPr>
        <w:t xml:space="preserve">Passport &amp; Home Office References</w:t>
      </w:r>
      <w:r>
        <w:rPr>
          <w:rFonts w:ascii="Calibri" w:cs="Calibri" w:eastAsia="Calibri" w:hAnsi="Calibri"/>
          <w:color w:val="222222"/>
          <w:sz w:val="21"/>
          <w:szCs w:val="21"/>
        </w:rPr>
        <w:t xml:space="preserve">: 9-digit passport numbers, </w:t>
      </w:r>
      <w:r>
        <w:rPr>
          <w:rFonts w:ascii="Consolas" w:cs="Consolas" w:eastAsia="Consolas" w:hAnsi="Consolas"/>
          <w:color w:val="0F172A"/>
          <w:sz w:val="19"/>
          <w:szCs w:val="19"/>
          <w:shd w:fill="E2E8F0" w:val="clear"/>
        </w:rPr>
        <w:t xml:space="preserve">HO/</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CID</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UAN</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BRP</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GWF</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Court &amp; Tribunal References</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EA/2023/0001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F80YX123</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1234/2024</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HMRC References</w:t>
      </w:r>
      <w:r>
        <w:rPr>
          <w:rFonts w:ascii="Calibri" w:cs="Calibri" w:eastAsia="Calibri" w:hAnsi="Calibri"/>
          <w:color w:val="222222"/>
          <w:sz w:val="21"/>
          <w:szCs w:val="21"/>
        </w:rPr>
        <w:t xml:space="preserve">: 10-digit Unique Taxpayer References (UTR) and VAT registration numbers.</w:t>
      </w:r>
    </w:p>
    <w:p>
      <w:pPr>
        <w:pStyle w:val="ListParagraph"/>
        <w:numPr>
          <w:ilvl w:val="0"/>
          <w:numId w:val="1"/>
        </w:numPr>
        <w:spacing w:after="60" w:line="260"/>
      </w:pPr>
      <w:r>
        <w:rPr>
          <w:rFonts w:ascii="Calibri" w:cs="Calibri" w:eastAsia="Calibri" w:hAnsi="Calibri"/>
          <w:b/>
          <w:bCs/>
          <w:color w:val="222222"/>
          <w:sz w:val="21"/>
          <w:szCs w:val="21"/>
        </w:rPr>
        <w:t xml:space="preserve">Dates of Birth (DOB)</w:t>
      </w:r>
      <w:r>
        <w:rPr>
          <w:rFonts w:ascii="Calibri" w:cs="Calibri" w:eastAsia="Calibri" w:hAnsi="Calibri"/>
          <w:color w:val="222222"/>
          <w:sz w:val="21"/>
          <w:szCs w:val="21"/>
        </w:rPr>
        <w:t xml:space="preserve">: Numeric formats (</w:t>
      </w:r>
      <w:r>
        <w:rPr>
          <w:rFonts w:ascii="Consolas" w:cs="Consolas" w:eastAsia="Consolas" w:hAnsi="Consolas"/>
          <w:color w:val="0F172A"/>
          <w:sz w:val="19"/>
          <w:szCs w:val="19"/>
          <w:shd w:fill="E2E8F0" w:val="clear"/>
        </w:rPr>
        <w:t xml:space="preserve">DD/MM/YYYY</w:t>
      </w:r>
      <w:r>
        <w:rPr>
          <w:rFonts w:ascii="Calibri" w:cs="Calibri" w:eastAsia="Calibri" w:hAnsi="Calibri"/>
          <w:color w:val="222222"/>
          <w:sz w:val="21"/>
          <w:szCs w:val="21"/>
        </w:rPr>
        <w:t xml:space="preserve">), written formats (</w:t>
      </w:r>
      <w:r>
        <w:rPr>
          <w:rFonts w:ascii="Consolas" w:cs="Consolas" w:eastAsia="Consolas" w:hAnsi="Consolas"/>
          <w:color w:val="0F172A"/>
          <w:sz w:val="19"/>
          <w:szCs w:val="19"/>
          <w:shd w:fill="E2E8F0" w:val="clear"/>
        </w:rPr>
        <w:t xml:space="preserve">14th August 1982</w:t>
      </w:r>
      <w:r>
        <w:rPr>
          <w:rFonts w:ascii="Calibri" w:cs="Calibri" w:eastAsia="Calibri" w:hAnsi="Calibri"/>
          <w:color w:val="222222"/>
          <w:sz w:val="21"/>
          <w:szCs w:val="21"/>
        </w:rPr>
        <w:t xml:space="preserve">), and spoken forms (</w:t>
      </w:r>
      <w:r>
        <w:rPr>
          <w:rFonts w:ascii="Consolas" w:cs="Consolas" w:eastAsia="Consolas" w:hAnsi="Consolas"/>
          <w:color w:val="0F172A"/>
          <w:sz w:val="19"/>
          <w:szCs w:val="19"/>
          <w:shd w:fill="E2E8F0" w:val="clear"/>
        </w:rPr>
        <w:t xml:space="preserve">fourteenth of August nineteen eighty two</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Street &amp; Residential Addresses</w:t>
      </w:r>
      <w:r>
        <w:rPr>
          <w:rFonts w:ascii="Calibri" w:cs="Calibri" w:eastAsia="Calibri" w:hAnsi="Calibri"/>
          <w:color w:val="222222"/>
          <w:sz w:val="21"/>
          <w:szCs w:val="21"/>
        </w:rPr>
        <w:t xml:space="preserve">: Street numbers adjacent to UK thoroughfare suffixes (</w:t>
      </w:r>
      <w:r>
        <w:rPr>
          <w:rFonts w:ascii="Consolas" w:cs="Consolas" w:eastAsia="Consolas" w:hAnsi="Consolas"/>
          <w:color w:val="0F172A"/>
          <w:sz w:val="19"/>
          <w:szCs w:val="19"/>
          <w:shd w:fill="E2E8F0" w:val="clear"/>
        </w:rPr>
        <w:t xml:space="preserve">Road</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Street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Avenue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Grove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Hill</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Estate</w:t>
      </w:r>
      <w:r>
        <w:rPr>
          <w:rFonts w:ascii="Calibri" w:cs="Calibri" w:eastAsia="Calibri" w:hAnsi="Calibri"/>
          <w:color w:val="222222"/>
          <w:sz w:val="21"/>
          <w:szCs w:val="21"/>
        </w:rPr>
        <w:t xml:space="preserve">).</w:t>
      </w:r>
    </w:p>
    <w:p>
      <w:pPr>
        <w:spacing w:after="80"/>
      </w:pPr>
    </w:p>
    <w:p>
      <w:pPr>
        <w:pStyle w:val="Heading3"/>
        <w:spacing w:after="80" w:before="180"/>
      </w:pPr>
      <w:r>
        <w:rPr>
          <w:rFonts w:ascii="Calibri" w:cs="Calibri" w:eastAsia="Calibri" w:hAnsi="Calibri"/>
          <w:b/>
          <w:bCs/>
          <w:color w:val="1C355E"/>
          <w:sz w:val="23"/>
          <w:szCs w:val="23"/>
        </w:rPr>
        <w:t xml:space="preserve">Layer 2: Local Named Entity Recognition (Target: $\ge 99%$ Recall)</w:t>
      </w:r>
    </w:p>
    <w:p>
      <w:pPr>
        <w:pStyle w:val="ListParagraph"/>
        <w:numPr>
          <w:ilvl w:val="0"/>
          <w:numId w:val="1"/>
        </w:numPr>
        <w:spacing w:after="60" w:line="260"/>
      </w:pPr>
      <w:r>
        <w:rPr>
          <w:rFonts w:ascii="Calibri" w:cs="Calibri" w:eastAsia="Calibri" w:hAnsi="Calibri"/>
          <w:b/>
          <w:bCs/>
          <w:color w:val="222222"/>
          <w:sz w:val="21"/>
          <w:szCs w:val="21"/>
        </w:rPr>
        <w:t xml:space="preserve">Client &amp; Family Names</w:t>
      </w:r>
      <w:r>
        <w:rPr>
          <w:rFonts w:ascii="Calibri" w:cs="Calibri" w:eastAsia="Calibri" w:hAnsi="Calibri"/>
          <w:color w:val="222222"/>
          <w:sz w:val="21"/>
          <w:szCs w:val="21"/>
        </w:rPr>
        <w:t xml:space="preserve">: Comprehensive UK first names index + phonetic variations.</w:t>
      </w:r>
    </w:p>
    <w:p>
      <w:pPr>
        <w:pStyle w:val="ListParagraph"/>
        <w:numPr>
          <w:ilvl w:val="0"/>
          <w:numId w:val="1"/>
        </w:numPr>
        <w:spacing w:after="60" w:line="260"/>
      </w:pPr>
      <w:r>
        <w:rPr>
          <w:rFonts w:ascii="Calibri" w:cs="Calibri" w:eastAsia="Calibri" w:hAnsi="Calibri"/>
          <w:b/>
          <w:bCs/>
          <w:color w:val="222222"/>
          <w:sz w:val="21"/>
          <w:szCs w:val="21"/>
        </w:rPr>
        <w:t xml:space="preserve">Third-Party Relationships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Ex-partners &amp; spouses (</w:t>
      </w:r>
      <w:r>
        <w:rPr>
          <w:rFonts w:ascii="Calibri" w:cs="Calibri" w:eastAsia="Calibri" w:hAnsi="Calibri"/>
          <w:i/>
          <w:iCs/>
          <w:color w:val="222222"/>
          <w:sz w:val="21"/>
          <w:szCs w:val="21"/>
        </w:rPr>
        <w:t xml:space="preserve">“my abusive ex-partner David Smith”</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Landlords &amp; letting agents (</w:t>
      </w:r>
      <w:r>
        <w:rPr>
          <w:rFonts w:ascii="Calibri" w:cs="Calibri" w:eastAsia="Calibri" w:hAnsi="Calibri"/>
          <w:i/>
          <w:iCs/>
          <w:color w:val="222222"/>
          <w:sz w:val="21"/>
          <w:szCs w:val="21"/>
        </w:rPr>
        <w:t xml:space="preserve">“landlord Mr Henderson”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Children (</w:t>
      </w:r>
      <w:r>
        <w:rPr>
          <w:rFonts w:ascii="Calibri" w:cs="Calibri" w:eastAsia="Calibri" w:hAnsi="Calibri"/>
          <w:i/>
          <w:iCs/>
          <w:color w:val="222222"/>
          <w:sz w:val="21"/>
          <w:szCs w:val="21"/>
        </w:rPr>
        <w:t xml:space="preserve">“my daughter Lily”, “my son Tommy”</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Support &amp; social workers (</w:t>
      </w:r>
      <w:r>
        <w:rPr>
          <w:rFonts w:ascii="Calibri" w:cs="Calibri" w:eastAsia="Calibri" w:hAnsi="Calibri"/>
          <w:i/>
          <w:iCs/>
          <w:color w:val="222222"/>
          <w:sz w:val="21"/>
          <w:szCs w:val="21"/>
        </w:rPr>
        <w:t xml:space="preserve">“social worker Rachel Adams”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Employers &amp; managers (</w:t>
      </w:r>
      <w:r>
        <w:rPr>
          <w:rFonts w:ascii="Calibri" w:cs="Calibri" w:eastAsia="Calibri" w:hAnsi="Calibri"/>
          <w:i/>
          <w:iCs/>
          <w:color w:val="222222"/>
          <w:sz w:val="21"/>
          <w:szCs w:val="21"/>
        </w:rPr>
        <w:t xml:space="preserve">“manager Steve at Tesco Express”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Named officials &amp; decision makers (</w:t>
      </w:r>
      <w:r>
        <w:rPr>
          <w:rFonts w:ascii="Calibri" w:cs="Calibri" w:eastAsia="Calibri" w:hAnsi="Calibri"/>
          <w:i/>
          <w:iCs/>
          <w:color w:val="222222"/>
          <w:sz w:val="21"/>
          <w:szCs w:val="21"/>
        </w:rPr>
        <w:t xml:space="preserve">“DWP decision maker Mr Davies”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“Judge Williams”</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Identifying Organisations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Schools (</w:t>
      </w:r>
      <w:r>
        <w:rPr>
          <w:rFonts w:ascii="Calibri" w:cs="Calibri" w:eastAsia="Calibri" w:hAnsi="Calibri"/>
          <w:i/>
          <w:iCs/>
          <w:color w:val="222222"/>
          <w:sz w:val="21"/>
          <w:szCs w:val="21"/>
        </w:rPr>
        <w:t xml:space="preserve">“Honeywell Junior School”</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“Bolingbroke Academy”</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Medical practices &amp; GP surgeries (</w:t>
      </w:r>
      <w:r>
        <w:rPr>
          <w:rFonts w:ascii="Calibri" w:cs="Calibri" w:eastAsia="Calibri" w:hAnsi="Calibri"/>
          <w:i/>
          <w:iCs/>
          <w:color w:val="222222"/>
          <w:sz w:val="21"/>
          <w:szCs w:val="21"/>
        </w:rPr>
        <w:t xml:space="preserve">“Lavender Hill Group Practice”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Hospitals (</w:t>
      </w:r>
      <w:r>
        <w:rPr>
          <w:rFonts w:ascii="Calibri" w:cs="Calibri" w:eastAsia="Calibri" w:hAnsi="Calibri"/>
          <w:i/>
          <w:iCs/>
          <w:color w:val="222222"/>
          <w:sz w:val="21"/>
          <w:szCs w:val="21"/>
        </w:rPr>
        <w:t xml:space="preserve">“St George’s Hospital”</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“King’s College Hospital”</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Refuges &amp; housing associations (</w:t>
      </w:r>
      <w:r>
        <w:rPr>
          <w:rFonts w:ascii="Calibri" w:cs="Calibri" w:eastAsia="Calibri" w:hAnsi="Calibri"/>
          <w:i/>
          <w:iCs/>
          <w:color w:val="222222"/>
          <w:sz w:val="21"/>
          <w:szCs w:val="21"/>
        </w:rPr>
        <w:t xml:space="preserve">“Solace Women’s Aid Refuge”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“Wandle Housing”</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Granular Locations</w:t>
      </w:r>
      <w:r>
        <w:rPr>
          <w:rFonts w:ascii="Calibri" w:cs="Calibri" w:eastAsia="Calibri" w:hAnsi="Calibri"/>
          <w:color w:val="222222"/>
          <w:sz w:val="21"/>
          <w:szCs w:val="21"/>
        </w:rPr>
        <w:t xml:space="preserve">: Specific estates (</w:t>
      </w:r>
      <w:r>
        <w:rPr>
          <w:rFonts w:ascii="Calibri" w:cs="Calibri" w:eastAsia="Calibri" w:hAnsi="Calibri"/>
          <w:i/>
          <w:iCs/>
          <w:color w:val="222222"/>
          <w:sz w:val="21"/>
          <w:szCs w:val="21"/>
        </w:rPr>
        <w:t xml:space="preserve">“Doddington Estate”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“Winstanley Estate”</w:t>
      </w:r>
      <w:r>
        <w:rPr>
          <w:rFonts w:ascii="Calibri" w:cs="Calibri" w:eastAsia="Calibri" w:hAnsi="Calibri"/>
          <w:color w:val="222222"/>
          <w:sz w:val="21"/>
          <w:szCs w:val="21"/>
        </w:rPr>
        <w:t xml:space="preserve">) where disclosure narrows identity.</w:t>
      </w:r>
    </w:p>
    <w:p>
      <w:pPr>
        <w:spacing w:after="100" w:line="270"/>
      </w:pPr>
      <w:r>
        <w:rPr>
          <w:rFonts w:ascii="Calibri" w:cs="Calibri" w:eastAsia="Calibri" w:hAnsi="Calibri"/>
          <w:b/>
          <w:bCs/>
          <w:color w:val="222222"/>
          <w:sz w:val="21"/>
          <w:szCs w:val="21"/>
        </w:rPr>
        <w:t xml:space="preserve">Distinctive Occupations</w:t>
      </w:r>
      <w:r>
        <w:rPr>
          <w:rFonts w:ascii="Calibri" w:cs="Calibri" w:eastAsia="Calibri" w:hAnsi="Calibri"/>
          <w:color w:val="222222"/>
          <w:sz w:val="21"/>
          <w:szCs w:val="21"/>
        </w:rPr>
        <w:t xml:space="preserve">: Roles with unique identifiable context (</w:t>
      </w:r>
      <w:r>
        <w:rPr>
          <w:rFonts w:ascii="Calibri" w:cs="Calibri" w:eastAsia="Calibri" w:hAnsi="Calibri"/>
          <w:i/>
          <w:iCs/>
          <w:color w:val="222222"/>
          <w:sz w:val="21"/>
          <w:szCs w:val="21"/>
        </w:rPr>
        <w:t xml:space="preserve">“Head of HR at Wandsworth Council”</w:t>
      </w:r>
      <w:r>
        <w:rPr>
          <w:rFonts w:ascii="Calibri" w:cs="Calibri" w:eastAsia="Calibri" w:hAnsi="Calibri"/>
          <w:color w:val="222222"/>
          <w:sz w:val="21"/>
          <w:szCs w:val="21"/>
        </w:rPr>
        <w:t xml:space="preserve">).</w:t>
      </w:r>
    </w:p>
    <w:p>
      <w:pPr>
        <w:pStyle w:val="Heading3"/>
        <w:spacing w:after="80" w:before="180"/>
      </w:pPr>
      <w:r>
        <w:rPr>
          <w:rFonts w:ascii="Calibri" w:cs="Calibri" w:eastAsia="Calibri" w:hAnsi="Calibri"/>
          <w:b/>
          <w:bCs/>
          <w:color w:val="1C355E"/>
          <w:sz w:val="23"/>
          <w:szCs w:val="23"/>
        </w:rPr>
        <w:t xml:space="preserve">Layer 3: Special Category &amp; Contextual Risk Flags</w:t>
      </w:r>
    </w:p>
    <w:p>
      <w:pPr>
        <w:pStyle w:val="ListParagraph"/>
        <w:numPr>
          <w:ilvl w:val="0"/>
          <w:numId w:val="1"/>
        </w:numPr>
        <w:spacing w:after="60" w:line="260"/>
      </w:pPr>
      <w:r>
        <w:rPr>
          <w:rFonts w:ascii="Calibri" w:cs="Calibri" w:eastAsia="Calibri" w:hAnsi="Calibri"/>
          <w:b/>
          <w:bCs/>
          <w:color w:val="222222"/>
          <w:sz w:val="21"/>
          <w:szCs w:val="21"/>
        </w:rPr>
        <w:t xml:space="preserve">Article 9 Special Categories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Physical &amp; mental health conditions / diagnoses (</w:t>
      </w:r>
      <w:r>
        <w:rPr>
          <w:rFonts w:ascii="Calibri" w:cs="Calibri" w:eastAsia="Calibri" w:hAnsi="Calibri"/>
          <w:i/>
          <w:iCs/>
          <w:color w:val="222222"/>
          <w:sz w:val="21"/>
          <w:szCs w:val="21"/>
        </w:rPr>
        <w:t xml:space="preserve">“paranoid schizophrenia”</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“fibromyalgia”</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“sectioned under the Mental Health Act”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Domestic abuse disclosures (</w:t>
      </w:r>
      <w:r>
        <w:rPr>
          <w:rFonts w:ascii="Calibri" w:cs="Calibri" w:eastAsia="Calibri" w:hAnsi="Calibri"/>
          <w:i/>
          <w:iCs/>
          <w:color w:val="222222"/>
          <w:sz w:val="21"/>
          <w:szCs w:val="21"/>
        </w:rPr>
        <w:t xml:space="preserve">“fleeing domestic violence”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“non-molestation order”</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“MARAC referral”</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Immigration &amp; nationality status (</w:t>
      </w:r>
      <w:r>
        <w:rPr>
          <w:rFonts w:ascii="Calibri" w:cs="Calibri" w:eastAsia="Calibri" w:hAnsi="Calibri"/>
          <w:i/>
          <w:iCs/>
          <w:color w:val="222222"/>
          <w:sz w:val="21"/>
          <w:szCs w:val="21"/>
        </w:rPr>
        <w:t xml:space="preserve">“asylum seeker”</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“no recourse to public funds / NRPF”</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“deportation notice”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Criminal justice involvement (</w:t>
      </w:r>
      <w:r>
        <w:rPr>
          <w:rFonts w:ascii="Calibri" w:cs="Calibri" w:eastAsia="Calibri" w:hAnsi="Calibri"/>
          <w:i/>
          <w:iCs/>
          <w:color w:val="222222"/>
          <w:sz w:val="21"/>
          <w:szCs w:val="21"/>
        </w:rPr>
        <w:t xml:space="preserve">“released on licence”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“probation order”</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“HMP Wandsworth”</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Child protection matters (</w:t>
      </w:r>
      <w:r>
        <w:rPr>
          <w:rFonts w:ascii="Calibri" w:cs="Calibri" w:eastAsia="Calibri" w:hAnsi="Calibri"/>
          <w:i/>
          <w:iCs/>
          <w:color w:val="222222"/>
          <w:sz w:val="21"/>
          <w:szCs w:val="21"/>
        </w:rPr>
        <w:t xml:space="preserve">“Section 47 enquiry”</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“child in need plan”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Sexual orientation, religion, and trade union membership (</w:t>
      </w:r>
      <w:r>
        <w:rPr>
          <w:rFonts w:ascii="Calibri" w:cs="Calibri" w:eastAsia="Calibri" w:hAnsi="Calibri"/>
          <w:i/>
          <w:iCs/>
          <w:color w:val="222222"/>
          <w:sz w:val="21"/>
          <w:szCs w:val="21"/>
        </w:rPr>
        <w:t xml:space="preserve">“Unison member”</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Safeguarding and risk to life flags</w:t>
      </w:r>
    </w:p>
    <w:p>
      <w:pPr>
        <w:spacing w:after="80"/>
      </w:pPr>
    </w:p>
    <w:p>
      <w:pPr>
        <w:spacing w:after="100" w:line="270"/>
      </w:pPr>
      <w:r>
        <w:rPr>
          <w:rFonts w:ascii="Calibri" w:cs="Calibri" w:eastAsia="Calibri" w:hAnsi="Calibri"/>
          <w:b/>
          <w:bCs/>
          <w:color w:val="222222"/>
          <w:sz w:val="21"/>
          <w:szCs w:val="21"/>
        </w:rPr>
        <w:t xml:space="preserve">Transparent Consequence Cards</w:t>
      </w:r>
      <w:r>
        <w:rPr>
          <w:rFonts w:ascii="Calibri" w:cs="Calibri" w:eastAsia="Calibri" w:hAnsi="Calibri"/>
          <w:color w:val="222222"/>
          <w:sz w:val="21"/>
          <w:szCs w:val="21"/>
        </w:rPr>
        <w:t xml:space="preserve">: For every flagged element, the adviser is presented with:</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Retention Risk</w:t>
      </w:r>
      <w:r>
        <w:rPr>
          <w:rFonts w:ascii="Calibri" w:cs="Calibri" w:eastAsia="Calibri" w:hAnsi="Calibri"/>
          <w:color w:val="222222"/>
          <w:sz w:val="21"/>
          <w:szCs w:val="21"/>
        </w:rPr>
        <w:t xml:space="preserve">: The exact data privacy implication of retaining the term when calling cloud synthesis.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Redaction Impact</w:t>
      </w:r>
      <w:r>
        <w:rPr>
          <w:rFonts w:ascii="Calibri" w:cs="Calibri" w:eastAsia="Calibri" w:hAnsi="Calibri"/>
          <w:color w:val="222222"/>
          <w:sz w:val="21"/>
          <w:szCs w:val="21"/>
        </w:rPr>
        <w:t xml:space="preserve">: The impact on the quality and admissibility of the AQS Level 3 case note.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Recommended Default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retain_clinical_substance</w:t>
      </w:r>
      <w:r>
        <w:rPr>
          <w:rFonts w:ascii="Calibri" w:cs="Calibri" w:eastAsia="Calibri" w:hAnsi="Calibri"/>
          <w:color w:val="222222"/>
          <w:sz w:val="21"/>
          <w:szCs w:val="21"/>
        </w:rPr>
        <w:t xml:space="preserve"> (tokenise personal identifiers while preserving medical/legal diagnostic terminology).</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3. Transcript Immutability &amp; Surrogate Mapping</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Non-Mutating Invariant</w:t>
      </w:r>
      <w:r>
        <w:rPr>
          <w:rFonts w:ascii="Calibri" w:cs="Calibri" w:eastAsia="Calibri" w:hAnsi="Calibri"/>
          <w:color w:val="222222"/>
          <w:sz w:val="21"/>
          <w:szCs w:val="21"/>
        </w:rPr>
        <w:t xml:space="preserve">: The original working transcript is never mutated in place. Retaining character-exact offsets allows the </w:t>
      </w:r>
      <w:r>
        <w:rPr>
          <w:rFonts w:ascii="Consolas" w:cs="Consolas" w:eastAsia="Consolas" w:hAnsi="Consolas"/>
          <w:color w:val="0F172A"/>
          <w:sz w:val="19"/>
          <w:szCs w:val="19"/>
          <w:shd w:fill="E2E8F0" w:val="clear"/>
        </w:rPr>
        <w:t xml:space="preserve">IdentifierEngine</w:t>
      </w:r>
      <w:r>
        <w:rPr>
          <w:rFonts w:ascii="Calibri" w:cs="Calibri" w:eastAsia="Calibri" w:hAnsi="Calibri"/>
          <w:color w:val="222222"/>
          <w:sz w:val="21"/>
          <w:szCs w:val="21"/>
        </w:rPr>
        <w:t xml:space="preserve"> to project directly to ASR word boundaries and compute start/end acoustic millisecond timestamps for Phase 9 audio bleeping.</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Surrogate Token Mapping</w:t>
      </w:r>
      <w:r>
        <w:rPr>
          <w:rFonts w:ascii="Calibri" w:cs="Calibri" w:eastAsia="Calibri" w:hAnsi="Calibri"/>
          <w:color w:val="222222"/>
          <w:sz w:val="21"/>
          <w:szCs w:val="21"/>
        </w:rPr>
        <w:t xml:space="preserve">: Identifiers are mapped to deterministic surrogate tokens (e.g. </w:t>
      </w:r>
      <w:r>
        <w:rPr>
          <w:rFonts w:ascii="Consolas" w:cs="Consolas" w:eastAsia="Consolas" w:hAnsi="Consolas"/>
          <w:color w:val="0F172A"/>
          <w:sz w:val="19"/>
          <w:szCs w:val="19"/>
          <w:shd w:fill="E2E8F0" w:val="clear"/>
        </w:rPr>
        <w:t xml:space="preserve">[NINO_1]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[CLIENT_NAME_1]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[EX_PARTNER_NAME_1]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[REFUGE_1]</w:t>
      </w:r>
      <w:r>
        <w:rPr>
          <w:rFonts w:ascii="Calibri" w:cs="Calibri" w:eastAsia="Calibri" w:hAnsi="Calibri"/>
          <w:color w:val="222222"/>
          <w:sz w:val="21"/>
          <w:szCs w:val="21"/>
        </w:rPr>
        <w:t xml:space="preserve">). The bidirectional mapping table is held exclusively in </w:t>
      </w:r>
      <w:r>
        <w:rPr>
          <w:rFonts w:ascii="Consolas" w:cs="Consolas" w:eastAsia="Consolas" w:hAnsi="Consolas"/>
          <w:color w:val="0F172A"/>
          <w:sz w:val="19"/>
          <w:szCs w:val="19"/>
          <w:shd w:fill="E2E8F0" w:val="clear"/>
        </w:rPr>
        <w:t xml:space="preserve">VolatileSessionStore</w:t>
      </w:r>
      <w:r>
        <w:rPr>
          <w:rFonts w:ascii="Calibri" w:cs="Calibri" w:eastAsia="Calibri" w:hAnsi="Calibri"/>
          <w:color w:val="222222"/>
          <w:sz w:val="21"/>
          <w:szCs w:val="21"/>
        </w:rPr>
        <w:t xml:space="preserve"> and is wiped upon session termination.</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2026-09-02T22:49:11.488Z</dcterms:created>
  <dcterms:modified xsi:type="dcterms:W3CDTF">2026-09-02T22:49:11.488Z</dcterms:modified>
</cp:coreProperties>
</file>

<file path=docProps/custom.xml><?xml version="1.0" encoding="utf-8"?>
<Properties xmlns="http://schemas.openxmlformats.org/officeDocument/2006/custom-properties" xmlns:vt="http://schemas.openxmlformats.org/officeDocument/2006/docPropsVTypes"/>
</file>