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004B87"/>
          <w:sz w:val="34"/>
          <w:szCs w:val="34"/>
        </w:rPr>
        <w:t xml:space="preserve">Backend Architecture &amp; Hardening: Case Ace v2.0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006699"/>
          <w:sz w:val="27"/>
          <w:szCs w:val="27"/>
        </w:rPr>
        <w:t xml:space="preserve">1. Minimal Endpoint Inventory &amp; Attack Surface Minimisation</w:t>
      </w:r>
    </w:p>
    <w:p>
      <w:pPr>
        <w:spacing w:after="100" w:line="27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Every endpoint in a backend processing special category data is an attack surface, an audit liability, and a potential vector for exfiltration. The Case Ace v2.0 backend is architected as the absolute smallest service capable of supporting the system’s privacy guarantees.</w:t>
      </w: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color w:val="1C355E"/>
          <w:sz w:val="23"/>
          <w:szCs w:val="23"/>
        </w:rPr>
        <w:t xml:space="preserve">The 6 Permitted Endpoints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004B87" w:sz="4"/>
              <w:left w:val="single" w:color="004B87" w:sz="4"/>
              <w:bottom w:val="single" w:color="004B87" w:sz="4"/>
              <w:right w:val="single" w:color="004B87" w:sz="4"/>
            </w:tcBorders>
            <w:shd w:fill="004B8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#</w:t>
            </w:r>
          </w:p>
        </w:tc>
        <w:tc>
          <w:tcPr>
            <w:tcBorders>
              <w:top w:val="single" w:color="004B87" w:sz="4"/>
              <w:left w:val="single" w:color="004B87" w:sz="4"/>
              <w:bottom w:val="single" w:color="004B87" w:sz="4"/>
              <w:right w:val="single" w:color="004B87" w:sz="4"/>
            </w:tcBorders>
            <w:shd w:fill="004B8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Endpoint Group</w:t>
            </w:r>
          </w:p>
        </w:tc>
        <w:tc>
          <w:tcPr>
            <w:tcBorders>
              <w:top w:val="single" w:color="004B87" w:sz="4"/>
              <w:left w:val="single" w:color="004B87" w:sz="4"/>
              <w:bottom w:val="single" w:color="004B87" w:sz="4"/>
              <w:right w:val="single" w:color="004B87" w:sz="4"/>
            </w:tcBorders>
            <w:shd w:fill="004B8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HTTP Routes</w:t>
            </w:r>
          </w:p>
        </w:tc>
        <w:tc>
          <w:tcPr>
            <w:tcBorders>
              <w:top w:val="single" w:color="004B87" w:sz="4"/>
              <w:left w:val="single" w:color="004B87" w:sz="4"/>
              <w:bottom w:val="single" w:color="004B87" w:sz="4"/>
              <w:right w:val="single" w:color="004B87" w:sz="4"/>
            </w:tcBorders>
            <w:shd w:fill="004B8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Purpose &amp; Scope</w:t>
            </w:r>
          </w:p>
        </w:tc>
        <w:tc>
          <w:tcPr>
            <w:tcBorders>
              <w:top w:val="single" w:color="004B87" w:sz="4"/>
              <w:left w:val="single" w:color="004B87" w:sz="4"/>
              <w:bottom w:val="single" w:color="004B87" w:sz="4"/>
              <w:right w:val="single" w:color="004B87" w:sz="4"/>
            </w:tcBorders>
            <w:shd w:fill="004B8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Data Handled</w:t>
            </w:r>
          </w:p>
        </w:tc>
      </w:tr>
      <w:tr>
        <w:trPr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1"/>
                <w:szCs w:val="21"/>
              </w:rPr>
              <w:t xml:space="preserve">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1"/>
                <w:szCs w:val="21"/>
              </w:rPr>
              <w:t xml:space="preserve">Authentication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POST /api/v1/auth/token</w:t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&lt;br&gt;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POST /api/v1/auth/login</w:t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&lt;br&gt;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GET /api/v1/auth/callback</w:t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&lt;br&gt;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POST /api/v1/auth/refresh</w:t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&lt;br&gt;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GET /api/v1/auth/session</w:t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&lt;br&gt;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POST /api/v1/auth/logout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Token exchange, OIDC PKCE callbacks, session verification, and stateless logout.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Staff credentials / OIDC auth codes only. Zero client data.</w:t>
            </w:r>
          </w:p>
        </w:tc>
      </w:tr>
      <w:tr>
        <w:trPr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1"/>
                <w:szCs w:val="21"/>
              </w:rPr>
              <w:t xml:space="preserve">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1"/>
                <w:szCs w:val="21"/>
              </w:rPr>
              <w:t xml:space="preserve">Credential Issuance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POST /api/v1/credentials/issue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Mints ephemeral, single-purpose GCP credentials for direct client-to-cloud calls (Speech-to-Text v2 &amp; Vertex AI Gemini).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Returns a short-lived token (300s TTL, 900s maximum) for a service account holding exactly one role. Zero client data.</w:t>
            </w:r>
          </w:p>
        </w:tc>
      </w:tr>
      <w:tr>
        <w:trPr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1"/>
                <w:szCs w:val="21"/>
              </w:rPr>
              <w:t xml:space="preserve">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1"/>
                <w:szCs w:val="21"/>
              </w:rPr>
              <w:t xml:space="preserve">Case Note Drafting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POST /api/v1/casenote/generate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Stateless drafting from a tokenised transcript via Vertex AI on 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europe-west2</w:t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. Stores nothing.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Tokenised text only. Rejects any payload carrying 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tokenMap</w:t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, raw PII or audio.</w:t>
            </w:r>
          </w:p>
        </w:tc>
      </w:tr>
      <w:tr>
        <w:trPr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1"/>
                <w:szCs w:val="21"/>
              </w:rPr>
              <w:t xml:space="preserve">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1"/>
                <w:szCs w:val="21"/>
              </w:rPr>
              <w:t xml:space="preserve">Monitoring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POST /api/v1/monitoring/events</w:t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&lt;br&gt;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GET /api/v1/monitoring/aggregate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Ingests non-sensitive operational telemetry (latencies, token counts, error status). Serves aggregate counts to supervisors/auditors.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Rejects any payload containing PII or session keys (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audio</w:t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, 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transcript</w:t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, 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note</w:t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, 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tokenMap</w:t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).</w:t>
            </w:r>
          </w:p>
        </w:tc>
      </w:tr>
      <w:tr>
        <w:trPr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1"/>
                <w:szCs w:val="21"/>
              </w:rPr>
              <w:t xml:space="preserve">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1"/>
                <w:szCs w:val="21"/>
              </w:rPr>
              <w:t xml:space="preserve">Configuration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GET /api/v1/config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Serves non-sensitive runtime config (environment, region, models, auth type, session timeout).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Public runtime parameters only.</w:t>
            </w:r>
          </w:p>
        </w:tc>
      </w:tr>
      <w:tr>
        <w:trPr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1"/>
                <w:szCs w:val="21"/>
              </w:rPr>
              <w:t xml:space="preserve">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1"/>
                <w:szCs w:val="21"/>
              </w:rPr>
              <w:t xml:space="preserve">Health Check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GET /health</w:t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&lt;br&gt;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GET /api/v1/health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Liveness and readiness probe for Cloud Run and load balancers.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Returns 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{ status: 'healthy', region: 'europe-west2' }</w:t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BD5E1" w:sz="4"/>
              <w:left w:val="single" w:color="C00000" w:sz="28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00000"/>
                <w:sz w:val="20"/>
                <w:szCs w:val="20"/>
              </w:rPr>
              <w:t xml:space="preserve">[!IMPORTANT REQUIREMENT]</w:t>
            </w:r>
          </w:p>
          <w:p>
            <w:pPr>
              <w:spacing w:after="60" w:line="260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[!IMPORTANT]</w:t>
            </w:r>
            <w:r>
              <w:br/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1"/>
                <w:szCs w:val="21"/>
              </w:rPr>
              <w:t xml:space="preserve">Correction to the credential model.</w:t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 Earlier revisions described endpoint 2 as issuing</w:t>
            </w:r>
            <w:r>
              <w:br/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“downscoped STS credentials” produced with a Credential Access Boundary. Google offers</w:t>
            </w:r>
            <w:r>
              <w:br/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Credential Access Boundaries for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1"/>
                <w:szCs w:val="21"/>
              </w:rPr>
              <w:t xml:space="preserve">Cloud Storage only</w:t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; no other service supports them,</w:t>
            </w:r>
            <w:r>
              <w:br/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so a boundary-scoped token for Speech-to-Text or Vertex AI cannot be created. The</w:t>
            </w:r>
            <w:r>
              <w:br/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architecture rested on a capability that does not exist, and the implementation returned a</w:t>
            </w:r>
            <w:r>
              <w:br/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random string formatted to look like a token, which authenticated nothing at all.</w:t>
            </w:r>
          </w:p>
          <w:p>
            <w:pPr>
              <w:spacing w:after="60" w:line="260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The same objective is now met by separating identities rather than constraining one token.</w:t>
            </w:r>
            <w:r>
              <w:br/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Each purpose has its own service account holding a single role: 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case-ace-stt-sa</w:t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 with</w:t>
            </w:r>
            <w:r>
              <w:br/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roles/speech.client</w:t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, and 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case-ace-vertex-sa</w:t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 with 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roles/aiplatform.user</w:t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. The runtime</w:t>
            </w:r>
            <w:r>
              <w:br/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service account holds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1"/>
                <w:szCs w:val="21"/>
              </w:rPr>
              <w:t xml:space="preserve">no API roles at all</w:t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; it may only mint tokens for those two</w:t>
            </w:r>
            <w:r>
              <w:br/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accounts, through IAM Credentials 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generateAccessToken</w:t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.</w:t>
            </w:r>
          </w:p>
          <w:p>
            <w:pPr>
              <w:spacing w:after="60" w:line="26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1"/>
                <w:szCs w:val="21"/>
              </w:rPr>
              <w:t xml:space="preserve">Residual risk, stated plainly.</w:t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 The token handed to the browser is a full access token</w:t>
            </w:r>
            <w:r>
              <w:br/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for a least-privilege service account, not a resource-scoped one. Within its short lifetime</w:t>
            </w:r>
            <w:r>
              <w:br/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an attacker holding it could call that one API at CAW’s expense. It could not read storage,</w:t>
            </w:r>
            <w:r>
              <w:br/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reach another project, or touch any other service. The compensating controls are the short</w:t>
            </w:r>
            <w:r>
              <w:br/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lifetime, the single role, the audit record written on every issuance, and the CSP</w:t>
            </w:r>
            <w:r>
              <w:br/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connect-src</w:t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 allowlist. This is a real reduction against the boundary model that was</w:t>
            </w:r>
            <w:r>
              <w:br/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described but never available, and it is recorded here rather than left implied.</w:t>
            </w:r>
          </w:p>
        </w:tc>
      </w:tr>
    </w:tbl>
    <w:p>
      <w:pPr>
        <w:spacing w:after="120"/>
      </w:pP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color w:val="1C355E"/>
          <w:sz w:val="23"/>
          <w:szCs w:val="23"/>
        </w:rPr>
        <w:t xml:space="preserve">Zero Session Data Guarantee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BD5E1" w:sz="4"/>
              <w:left w:val="single" w:color="C00000" w:sz="28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00000"/>
                <w:sz w:val="20"/>
                <w:szCs w:val="20"/>
              </w:rPr>
              <w:t xml:space="preserve">[!IMPORTANT REQUIREMENT]</w:t>
            </w:r>
          </w:p>
          <w:p>
            <w:pPr>
              <w:spacing w:after="60" w:line="260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[!IMPORTANT]</w:t>
            </w:r>
            <w:r>
              <w:br/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1"/>
                <w:szCs w:val="21"/>
              </w:rPr>
              <w:t xml:space="preserve">Fundamental Privacy Rule</w:t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: The backend contains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1"/>
                <w:szCs w:val="21"/>
              </w:rPr>
              <w:t xml:space="preserve">zero</w:t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 endpoints for receiving, storing, querying, or returning client audio, transcripts, surrogate token maps, prompts, or case notes.</w:t>
            </w:r>
          </w:p>
          <w:p>
            <w:pPr>
              <w:spacing w:after="60" w:line="260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No database ORM exists. No session table exists. The backend is completely blind to client consultation content.</w:t>
            </w:r>
          </w:p>
        </w:tc>
      </w:tr>
    </w:tbl>
    <w:p>
      <w:pPr>
        <w:spacing w:after="120"/>
      </w:pPr>
    </w:p>
    <w:p>
      <w:pPr>
        <w:spacing w:after="160" w:before="160"/>
      </w:pP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006699"/>
          <w:sz w:val="27"/>
          <w:szCs w:val="27"/>
        </w:rPr>
        <w:t xml:space="preserve">2. Ephemeral Scoped Credential Issuance</w:t>
      </w:r>
    </w:p>
    <w:p>
      <w:pPr>
        <w:spacing w:after="100" w:line="27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The client browser communicates directly with Google Cloud Speech-to-Text v2 (Chirp 2) and Vertex AI (Gemini 1.5 Pro) in </w:t>
      </w:r>
      <w:r>
        <w:rPr>
          <w:rFonts w:ascii="Consolas" w:cs="Consolas" w:eastAsia="Consolas" w:hAnsi="Consolas"/>
          <w:color w:val="0F172A"/>
          <w:sz w:val="19"/>
          <w:szCs w:val="19"/>
          <w:shd w:fill="E2E8F0" w:val="clear"/>
        </w:rPr>
        <w:t xml:space="preserve">europe-west2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 (London) without routing payload data through the backend.</w:t>
      </w:r>
    </w:p>
    <w:p>
      <w:pPr>
        <w:spacing w:after="100" w:line="27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To prevent long-lived credential leakage:</w:t>
      </w:r>
    </w:p>
    <w:p>
      <w:pPr>
        <w:spacing w:after="60" w:line="260"/>
        <w:ind w:left="400" w:hanging="240"/>
      </w:pPr>
      <w:r>
        <w:rPr>
          <w:rFonts w:ascii="Calibri" w:cs="Calibri" w:eastAsia="Calibri" w:hAnsi="Calibri"/>
          <w:b/>
          <w:bCs/>
          <w:color w:val="004B87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No Long-Lived Service Account Keys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: The client never holds, receives, or caches service account keys.</w:t>
      </w:r>
    </w:p>
    <w:p>
      <w:pPr>
        <w:spacing w:after="60" w:line="260"/>
        <w:ind w:left="400" w:hanging="240"/>
      </w:pPr>
      <w:r>
        <w:rPr>
          <w:rFonts w:ascii="Calibri" w:cs="Calibri" w:eastAsia="Calibri" w:hAnsi="Calibri"/>
          <w:b/>
          <w:bCs/>
          <w:color w:val="004B87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Short-Lived Ephemerality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: Credentials expire in </w:t>
      </w: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300 seconds (5 minutes)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, with an absolute hard cap of </w:t>
      </w: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900 seconds (15 minutes)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.</w:t>
      </w:r>
    </w:p>
    <w:p>
      <w:pPr>
        <w:spacing w:after="60" w:line="260"/>
        <w:ind w:left="400" w:hanging="240"/>
      </w:pPr>
      <w:r>
        <w:rPr>
          <w:rFonts w:ascii="Calibri" w:cs="Calibri" w:eastAsia="Calibri" w:hAnsi="Calibri"/>
          <w:b/>
          <w:bCs/>
          <w:color w:val="004B87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Single-Purpose Downscoping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:</w:t>
      </w:r>
    </w:p>
    <w:p>
      <w:pPr>
        <w:spacing w:after="60" w:line="260"/>
        <w:ind w:left="400" w:hanging="240"/>
      </w:pPr>
      <w:r>
        <w:rPr>
          <w:rFonts w:ascii="Calibri" w:cs="Calibri" w:eastAsia="Calibri" w:hAnsi="Calibri"/>
          <w:b/>
          <w:bCs/>
          <w:color w:val="004B87"/>
          <w:sz w:val="21"/>
          <w:szCs w:val="21"/>
        </w:rPr>
        <w:t xml:space="preserve">4. </w:t>
      </w:r>
      <w:r>
        <w:rPr>
          <w:rFonts w:ascii="Consolas" w:cs="Consolas" w:eastAsia="Consolas" w:hAnsi="Consolas"/>
          <w:color w:val="0F172A"/>
          <w:sz w:val="19"/>
          <w:szCs w:val="19"/>
          <w:shd w:fill="E2E8F0" w:val="clear"/>
        </w:rPr>
        <w:t xml:space="preserve">purpose: 'speech-to-text'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 $\rightarrow$ Scoped strictly to </w:t>
      </w:r>
      <w:r>
        <w:rPr>
          <w:rFonts w:ascii="Consolas" w:cs="Consolas" w:eastAsia="Consolas" w:hAnsi="Consolas"/>
          <w:color w:val="0F172A"/>
          <w:sz w:val="19"/>
          <w:szCs w:val="19"/>
          <w:shd w:fill="E2E8F0" w:val="clear"/>
        </w:rPr>
        <w:t xml:space="preserve">https://europe-west2-speech.googleapis.com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.</w:t>
      </w:r>
    </w:p>
    <w:p>
      <w:pPr>
        <w:spacing w:after="60" w:line="260"/>
        <w:ind w:left="400" w:hanging="240"/>
      </w:pPr>
      <w:r>
        <w:rPr>
          <w:rFonts w:ascii="Calibri" w:cs="Calibri" w:eastAsia="Calibri" w:hAnsi="Calibri"/>
          <w:b/>
          <w:bCs/>
          <w:color w:val="004B87"/>
          <w:sz w:val="21"/>
          <w:szCs w:val="21"/>
        </w:rPr>
        <w:t xml:space="preserve">5. </w:t>
      </w:r>
      <w:r>
        <w:rPr>
          <w:rFonts w:ascii="Consolas" w:cs="Consolas" w:eastAsia="Consolas" w:hAnsi="Consolas"/>
          <w:color w:val="0F172A"/>
          <w:sz w:val="19"/>
          <w:szCs w:val="19"/>
          <w:shd w:fill="E2E8F0" w:val="clear"/>
        </w:rPr>
        <w:t xml:space="preserve">purpose: 'vertex-ai'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 $\rightarrow$ Scoped strictly to </w:t>
      </w:r>
      <w:r>
        <w:rPr>
          <w:rFonts w:ascii="Consolas" w:cs="Consolas" w:eastAsia="Consolas" w:hAnsi="Consolas"/>
          <w:color w:val="0F172A"/>
          <w:sz w:val="19"/>
          <w:szCs w:val="19"/>
          <w:shd w:fill="E2E8F0" w:val="clear"/>
        </w:rPr>
        <w:t xml:space="preserve">https://europe-west2-aiplatform.googleapis.com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.</w:t>
      </w:r>
    </w:p>
    <w:p>
      <w:pPr>
        <w:spacing w:after="80"/>
      </w:pPr>
    </w:p>
    <w:p>
      <w:pPr>
        <w:spacing w:after="100" w:line="27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User &amp; Role Binding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: Only authenticated users with role </w:t>
      </w:r>
      <w:r>
        <w:rPr>
          <w:rFonts w:ascii="Consolas" w:cs="Consolas" w:eastAsia="Consolas" w:hAnsi="Consolas"/>
          <w:color w:val="0F172A"/>
          <w:sz w:val="19"/>
          <w:szCs w:val="19"/>
          <w:shd w:fill="E2E8F0" w:val="clear"/>
        </w:rPr>
        <w:t xml:space="preserve">adviser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 or </w:t>
      </w:r>
      <w:r>
        <w:rPr>
          <w:rFonts w:ascii="Consolas" w:cs="Consolas" w:eastAsia="Consolas" w:hAnsi="Consolas"/>
          <w:color w:val="0F172A"/>
          <w:sz w:val="19"/>
          <w:szCs w:val="19"/>
          <w:shd w:fill="E2E8F0" w:val="clear"/>
        </w:rPr>
        <w:t xml:space="preserve">supervisor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 can request cloud credentials. Requests from </w:t>
      </w:r>
      <w:r>
        <w:rPr>
          <w:rFonts w:ascii="Consolas" w:cs="Consolas" w:eastAsia="Consolas" w:hAnsi="Consolas"/>
          <w:color w:val="0F172A"/>
          <w:sz w:val="19"/>
          <w:szCs w:val="19"/>
          <w:shd w:fill="E2E8F0" w:val="clear"/>
        </w:rPr>
        <w:t xml:space="preserve">administrator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 or </w:t>
      </w:r>
      <w:r>
        <w:rPr>
          <w:rFonts w:ascii="Consolas" w:cs="Consolas" w:eastAsia="Consolas" w:hAnsi="Consolas"/>
          <w:color w:val="0F172A"/>
          <w:sz w:val="19"/>
          <w:szCs w:val="19"/>
          <w:shd w:fill="E2E8F0" w:val="clear"/>
        </w:rPr>
        <w:t xml:space="preserve">auditor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 roles are rejected with HTTP 403.</w:t>
      </w:r>
    </w:p>
    <w:p>
      <w:pPr>
        <w:spacing w:after="100" w:line="27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Audited Issuance Without Token Leakage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"/>
        </w:numPr>
        <w:spacing w:after="60" w:line="26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The issuance event is logged with metadata (</w:t>
      </w:r>
      <w:r>
        <w:rPr>
          <w:rFonts w:ascii="Consolas" w:cs="Consolas" w:eastAsia="Consolas" w:hAnsi="Consolas"/>
          <w:color w:val="0F172A"/>
          <w:sz w:val="19"/>
          <w:szCs w:val="19"/>
          <w:shd w:fill="E2E8F0" w:val="clear"/>
        </w:rPr>
        <w:t xml:space="preserve">userId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F172A"/>
          <w:sz w:val="19"/>
          <w:szCs w:val="19"/>
          <w:shd w:fill="E2E8F0" w:val="clear"/>
        </w:rPr>
        <w:t xml:space="preserve">role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F172A"/>
          <w:sz w:val="19"/>
          <w:szCs w:val="19"/>
          <w:shd w:fill="E2E8F0" w:val="clear"/>
        </w:rPr>
        <w:t xml:space="preserve">purpose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F172A"/>
          <w:sz w:val="19"/>
          <w:szCs w:val="19"/>
          <w:shd w:fill="E2E8F0" w:val="clear"/>
        </w:rPr>
        <w:t xml:space="preserve">ttlSeconds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F172A"/>
          <w:sz w:val="19"/>
          <w:szCs w:val="19"/>
          <w:shd w:fill="E2E8F0" w:val="clear"/>
        </w:rPr>
        <w:t xml:space="preserve">region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F172A"/>
          <w:sz w:val="19"/>
          <w:szCs w:val="19"/>
          <w:shd w:fill="E2E8F0" w:val="clear"/>
        </w:rPr>
        <w:t xml:space="preserve">timestamp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60" w:line="26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The token string itself is </w:t>
      </w: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NEVER written to logs, console output, or tracing spans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.</w:t>
      </w:r>
    </w:p>
    <w:p>
      <w:pPr>
        <w:spacing w:after="80"/>
      </w:pPr>
    </w:p>
    <w:p>
      <w:pPr>
        <w:spacing w:after="160" w:before="160"/>
      </w:pP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006699"/>
          <w:sz w:val="27"/>
          <w:szCs w:val="27"/>
        </w:rPr>
        <w:t xml:space="preserve">3. Data Handling: Request &amp; Response Body Logging Suppression</w:t>
      </w:r>
    </w:p>
    <w:p>
      <w:pPr>
        <w:spacing w:after="100" w:line="27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Default configurations in application frameworks, serverless runtimes (Cloud Run), and distributed tracing tools (OpenTelemetry, Cloud Trace) frequently log HTTP request and response payloads, headers, and query strings. In a privacy-preserving legal advice tool, this represents an intolerable risk of special category data leakage.</w:t>
      </w: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color w:val="1C355E"/>
          <w:sz w:val="23"/>
          <w:szCs w:val="23"/>
        </w:rPr>
        <w:t xml:space="preserve">Technical Controls</w:t>
      </w:r>
    </w:p>
    <w:p>
      <w:pPr>
        <w:spacing w:after="60" w:line="260"/>
        <w:ind w:left="400" w:hanging="240"/>
      </w:pPr>
      <w:r>
        <w:rPr>
          <w:rFonts w:ascii="Calibri" w:cs="Calibri" w:eastAsia="Calibri" w:hAnsi="Calibri"/>
          <w:b/>
          <w:bCs/>
          <w:color w:val="004B87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Custom </w:t>
      </w:r>
      <w:r>
        <w:rPr>
          <w:rFonts w:ascii="Consolas" w:cs="Consolas" w:eastAsia="Consolas" w:hAnsi="Consolas"/>
          <w:color w:val="0F172A"/>
          <w:sz w:val="19"/>
          <w:szCs w:val="19"/>
          <w:shd w:fill="E2E8F0" w:val="clear"/>
        </w:rPr>
        <w:t xml:space="preserve">privacyLogger</w:t>
      </w: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 Middleware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:</w:t>
      </w:r>
    </w:p>
    <w:p>
      <w:pPr>
        <w:spacing w:after="60" w:line="260"/>
        <w:ind w:left="400" w:hanging="240"/>
      </w:pPr>
      <w:r>
        <w:rPr>
          <w:rFonts w:ascii="Calibri" w:cs="Calibri" w:eastAsia="Calibri" w:hAnsi="Calibri"/>
          <w:b/>
          <w:bCs/>
          <w:color w:val="004B87"/>
          <w:sz w:val="21"/>
          <w:szCs w:val="21"/>
        </w:rPr>
        <w:t xml:space="preserve">2. 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Intercepts all incoming HTTP requests and response completions.</w:t>
      </w:r>
    </w:p>
    <w:p>
      <w:pPr>
        <w:spacing w:after="60" w:line="260"/>
        <w:ind w:left="400" w:hanging="240"/>
      </w:pPr>
      <w:r>
        <w:rPr>
          <w:rFonts w:ascii="Calibri" w:cs="Calibri" w:eastAsia="Calibri" w:hAnsi="Calibri"/>
          <w:b/>
          <w:bCs/>
          <w:color w:val="004B87"/>
          <w:sz w:val="21"/>
          <w:szCs w:val="21"/>
        </w:rPr>
        <w:t xml:space="preserve">3. 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Discards </w:t>
      </w:r>
      <w:r>
        <w:rPr>
          <w:rFonts w:ascii="Consolas" w:cs="Consolas" w:eastAsia="Consolas" w:hAnsi="Consolas"/>
          <w:color w:val="0F172A"/>
          <w:sz w:val="19"/>
          <w:szCs w:val="19"/>
          <w:shd w:fill="E2E8F0" w:val="clear"/>
        </w:rPr>
        <w:t xml:space="preserve">req.body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0F172A"/>
          <w:sz w:val="19"/>
          <w:szCs w:val="19"/>
          <w:shd w:fill="E2E8F0" w:val="clear"/>
        </w:rPr>
        <w:t xml:space="preserve">res.body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 entirely.</w:t>
      </w:r>
    </w:p>
    <w:p>
      <w:pPr>
        <w:spacing w:after="60" w:line="260"/>
        <w:ind w:left="400" w:hanging="240"/>
      </w:pPr>
      <w:r>
        <w:rPr>
          <w:rFonts w:ascii="Calibri" w:cs="Calibri" w:eastAsia="Calibri" w:hAnsi="Calibri"/>
          <w:b/>
          <w:bCs/>
          <w:color w:val="004B87"/>
          <w:sz w:val="21"/>
          <w:szCs w:val="21"/>
        </w:rPr>
        <w:t xml:space="preserve">4. 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Discards query parameters (</w:t>
      </w:r>
      <w:r>
        <w:rPr>
          <w:rFonts w:ascii="Consolas" w:cs="Consolas" w:eastAsia="Consolas" w:hAnsi="Consolas"/>
          <w:color w:val="0F172A"/>
          <w:sz w:val="19"/>
          <w:szCs w:val="19"/>
          <w:shd w:fill="E2E8F0" w:val="clear"/>
        </w:rPr>
        <w:t xml:space="preserve">req.query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) to eliminate accidental URL leakage.</w:t>
      </w:r>
    </w:p>
    <w:p>
      <w:pPr>
        <w:spacing w:after="60" w:line="260"/>
        <w:ind w:left="400" w:hanging="240"/>
      </w:pPr>
      <w:r>
        <w:rPr>
          <w:rFonts w:ascii="Calibri" w:cs="Calibri" w:eastAsia="Calibri" w:hAnsi="Calibri"/>
          <w:b/>
          <w:bCs/>
          <w:color w:val="004B87"/>
          <w:sz w:val="21"/>
          <w:szCs w:val="21"/>
        </w:rPr>
        <w:t xml:space="preserve">5. 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Discards sensitive headers (</w:t>
      </w:r>
      <w:r>
        <w:rPr>
          <w:rFonts w:ascii="Consolas" w:cs="Consolas" w:eastAsia="Consolas" w:hAnsi="Consolas"/>
          <w:color w:val="0F172A"/>
          <w:sz w:val="19"/>
          <w:szCs w:val="19"/>
          <w:shd w:fill="E2E8F0" w:val="clear"/>
        </w:rPr>
        <w:t xml:space="preserve">Authorization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F172A"/>
          <w:sz w:val="19"/>
          <w:szCs w:val="19"/>
          <w:shd w:fill="E2E8F0" w:val="clear"/>
        </w:rPr>
        <w:t xml:space="preserve">Cookie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F172A"/>
          <w:sz w:val="19"/>
          <w:szCs w:val="19"/>
          <w:shd w:fill="E2E8F0" w:val="clear"/>
        </w:rPr>
        <w:t xml:space="preserve">X-Auth-*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).</w:t>
      </w:r>
    </w:p>
    <w:p>
      <w:pPr>
        <w:spacing w:after="60" w:line="260"/>
        <w:ind w:left="400" w:hanging="240"/>
      </w:pPr>
      <w:r>
        <w:rPr>
          <w:rFonts w:ascii="Calibri" w:cs="Calibri" w:eastAsia="Calibri" w:hAnsi="Calibri"/>
          <w:b/>
          <w:bCs/>
          <w:color w:val="004B87"/>
          <w:sz w:val="21"/>
          <w:szCs w:val="21"/>
        </w:rPr>
        <w:t xml:space="preserve">6. 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Emits only: </w:t>
      </w:r>
      <w:r>
        <w:rPr>
          <w:rFonts w:ascii="Consolas" w:cs="Consolas" w:eastAsia="Consolas" w:hAnsi="Consolas"/>
          <w:color w:val="0F172A"/>
          <w:sz w:val="19"/>
          <w:szCs w:val="19"/>
          <w:shd w:fill="E2E8F0" w:val="clear"/>
        </w:rPr>
        <w:t xml:space="preserve">{ level, event: 'HTTP_REQUEST', method, path, statusCode, durationMs, timestamp }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.</w:t>
      </w:r>
    </w:p>
    <w:p>
      <w:pPr>
        <w:spacing w:after="80"/>
      </w:pPr>
    </w:p>
    <w:p>
      <w:pPr>
        <w:spacing w:after="100" w:line="27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Platform &amp; Tracing Defaults Hardened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"/>
        </w:numPr>
        <w:spacing w:after="60" w:line="26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OpenTelemetry tracing is configured with payload capture disabled (</w:t>
      </w:r>
      <w:r>
        <w:rPr>
          <w:rFonts w:ascii="Consolas" w:cs="Consolas" w:eastAsia="Consolas" w:hAnsi="Consolas"/>
          <w:color w:val="0F172A"/>
          <w:sz w:val="19"/>
          <w:szCs w:val="19"/>
          <w:shd w:fill="E2E8F0" w:val="clear"/>
        </w:rPr>
        <w:t xml:space="preserve">capture_body: false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60" w:line="26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Cloud Run request logging is isolated from stdout application logs.</w:t>
      </w:r>
    </w:p>
    <w:p>
      <w:pPr>
        <w:pStyle w:val="ListParagraph"/>
        <w:numPr>
          <w:ilvl w:val="0"/>
          <w:numId w:val="1"/>
        </w:numPr>
        <w:spacing w:after="60" w:line="26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Automated test suite (</w:t>
      </w:r>
      <w:r>
        <w:rPr>
          <w:rFonts w:ascii="Consolas" w:cs="Consolas" w:eastAsia="Consolas" w:hAnsi="Consolas"/>
          <w:color w:val="0F172A"/>
          <w:sz w:val="19"/>
          <w:szCs w:val="19"/>
          <w:shd w:fill="E2E8F0" w:val="clear"/>
        </w:rPr>
        <w:t xml:space="preserve">test/backend.test.ts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) actively injects test payloads and asserts zero body leakage across all log streams.</w:t>
      </w:r>
    </w:p>
    <w:p>
      <w:pPr>
        <w:spacing w:after="80"/>
      </w:pPr>
    </w:p>
    <w:p>
      <w:pPr>
        <w:spacing w:after="160" w:before="160"/>
      </w:pP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006699"/>
          <w:sz w:val="27"/>
          <w:szCs w:val="27"/>
        </w:rPr>
        <w:t xml:space="preserve">4. UK Region Pinning &amp; Infrastructure Hardening</w:t>
      </w:r>
    </w:p>
    <w:p>
      <w:pPr>
        <w:spacing w:after="100" w:line="27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All resources are pinned to </w:t>
      </w:r>
      <w:r>
        <w:rPr>
          <w:rFonts w:ascii="Consolas" w:cs="Consolas" w:eastAsia="Consolas" w:hAnsi="Consolas"/>
          <w:color w:val="0F172A"/>
          <w:sz w:val="19"/>
          <w:szCs w:val="19"/>
          <w:shd w:fill="E2E8F0" w:val="clear"/>
        </w:rPr>
        <w:t xml:space="preserve">europe-west2</w:t>
      </w: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 (London, United Kingdom)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"/>
        </w:numPr>
        <w:spacing w:after="60" w:line="26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Cloud Run Backend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: Configured in </w:t>
      </w:r>
      <w:r>
        <w:rPr>
          <w:rFonts w:ascii="Consolas" w:cs="Consolas" w:eastAsia="Consolas" w:hAnsi="Consolas"/>
          <w:color w:val="0F172A"/>
          <w:sz w:val="19"/>
          <w:szCs w:val="19"/>
          <w:shd w:fill="E2E8F0" w:val="clear"/>
        </w:rPr>
        <w:t xml:space="preserve">infrastructure/gcp/cloud-run.yaml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 with label </w:t>
      </w:r>
      <w:r>
        <w:rPr>
          <w:rFonts w:ascii="Consolas" w:cs="Consolas" w:eastAsia="Consolas" w:hAnsi="Consolas"/>
          <w:color w:val="0F172A"/>
          <w:sz w:val="19"/>
          <w:szCs w:val="19"/>
          <w:shd w:fill="E2E8F0" w:val="clear"/>
        </w:rPr>
        <w:t xml:space="preserve">cloud.google.com/location: europe-west2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line="26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Cloud Speech-to-Text v2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: Regional endpoint </w:t>
      </w:r>
      <w:r>
        <w:rPr>
          <w:rFonts w:ascii="Consolas" w:cs="Consolas" w:eastAsia="Consolas" w:hAnsi="Consolas"/>
          <w:color w:val="0F172A"/>
          <w:sz w:val="19"/>
          <w:szCs w:val="19"/>
          <w:shd w:fill="E2E8F0" w:val="clear"/>
        </w:rPr>
        <w:t xml:space="preserve">https://europe-west2-speech.googleapis.com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line="26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Vertex AI Gemini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: Regional endpoint </w:t>
      </w:r>
      <w:r>
        <w:rPr>
          <w:rFonts w:ascii="Consolas" w:cs="Consolas" w:eastAsia="Consolas" w:hAnsi="Consolas"/>
          <w:color w:val="0F172A"/>
          <w:sz w:val="19"/>
          <w:szCs w:val="19"/>
          <w:shd w:fill="E2E8F0" w:val="clear"/>
        </w:rPr>
        <w:t xml:space="preserve">https://europe-west2-aiplatform.googleapis.com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line="26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Application Configuration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: Hardcoded validation in </w:t>
      </w:r>
      <w:r>
        <w:rPr>
          <w:rFonts w:ascii="Consolas" w:cs="Consolas" w:eastAsia="Consolas" w:hAnsi="Consolas"/>
          <w:color w:val="0F172A"/>
          <w:sz w:val="19"/>
          <w:szCs w:val="19"/>
          <w:shd w:fill="E2E8F0" w:val="clear"/>
        </w:rPr>
        <w:t xml:space="preserve">backend/src/config/index.ts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0F172A"/>
          <w:sz w:val="19"/>
          <w:szCs w:val="19"/>
          <w:shd w:fill="E2E8F0" w:val="clear"/>
        </w:rPr>
        <w:t xml:space="preserve">client/src/config/environments.ts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.</w:t>
      </w:r>
    </w:p>
    <w:p>
      <w:pPr>
        <w:spacing w:after="8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4748B"/>
        <w:sz w:val="17"/>
        <w:szCs w:val="17"/>
      </w:rPr>
      <w:t xml:space="preserve">Official-Sensitive / Governance  |  Page </w:t>
    </w:r>
    <w:r>
      <w:rPr>
        <w:rFonts w:ascii="Calibri" w:cs="Calibri" w:eastAsia="Calibri" w:hAnsi="Calibri"/>
        <w:color w:val="64748B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4748B"/>
        <w:sz w:val="17"/>
        <w:szCs w:val="17"/>
      </w:rPr>
      <w:t xml:space="preserve"> of </w:t>
    </w:r>
    <w:r>
      <w:rPr>
        <w:rFonts w:ascii="Calibri" w:cs="Calibri" w:eastAsia="Calibri" w:hAnsi="Calibri"/>
        <w:color w:val="64748B"/>
        <w:sz w:val="17"/>
        <w:szCs w:val="17"/>
      </w:rPr>
      <w:fldChar w:fldCharType="begin"/>
      <w:instrText xml:space="preserve">NUMPAGES</w:instrText>
      <w:fldChar w:fldCharType="separate"/>
      <w:fldChar w:fldCharType="end"/>
    </w:r>
    <w:r>
      <w:rPr>
        <w:rFonts w:ascii="Calibri" w:cs="Calibri" w:eastAsia="Calibri" w:hAnsi="Calibri"/>
        <w:color w:val="64748B"/>
        <w:sz w:val="17"/>
        <w:szCs w:val="17"/>
      </w:rPr>
      <w:t xml:space="preserve">  |  Confidential &amp; Impartial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64748B"/>
        <w:sz w:val="17"/>
        <w:szCs w:val="17"/>
      </w:rPr>
      <w:t xml:space="preserve">Case Ace v2.0 | Citizens Advice Wandsworth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2026-09-03T23:04:08.901Z</dcterms:created>
  <dcterms:modified xsi:type="dcterms:W3CDTF">2026-09-03T23:04:08.901Z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