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052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QUALCOMM SNAPDRAGON® AI LAB BUILD &amp; PRESENT CHALLENGE 2026  |  OFFICIAL SUBMISSION</w:t>
            </w:r>
          </w:p>
        </w:tc>
      </w:tr>
    </w:tbl>
    <w:p>
      <w:pPr>
        <w:spacing w:after="120"/>
      </w:pPr>
    </w:p>
    <w:p>
      <w:pPr>
        <w:spacing w:before="80" w:after="40"/>
      </w:pPr>
      <w:r>
        <w:rPr>
          <w:rFonts w:ascii="Calibri" w:hAnsi="Calibri"/>
          <w:b/>
          <w:color w:val="0052FF"/>
          <w:sz w:val="44"/>
        </w:rPr>
        <w:t>OmniCare AI: Brief Project Description</w:t>
      </w:r>
    </w:p>
    <w:p>
      <w:pPr>
        <w:spacing w:after="40"/>
      </w:pPr>
      <w:r>
        <w:rPr>
          <w:rFonts w:ascii="Calibri" w:hAnsi="Calibri"/>
          <w:b/>
          <w:color w:val="0A66C2"/>
          <w:sz w:val="22"/>
        </w:rPr>
        <w:t>On-Device Multimodal Clinical Diagnostic Workstation for Snapdragon-Powered HP PCs</w:t>
      </w:r>
    </w:p>
    <w:p>
      <w:pPr>
        <w:spacing w:after="160"/>
      </w:pPr>
      <w:r>
        <w:rPr>
          <w:rFonts w:ascii="Calibri" w:hAnsi="Calibri"/>
          <w:i/>
          <w:color w:val="94A3B8"/>
          <w:sz w:val="17"/>
        </w:rPr>
        <w:t>Target Hardware: HP OmniBook X 14 / HP EliteBook Ultra G1q  |  Processor: Snapdragon® X Elite (45.0 TOPS Qualcomm Hexagon NPU HTP v73)</w:t>
        <w:br/>
        <w:t>Compliance: 100% Zero Cloud Egress, India DPDP Act 2023, NRCeS ABDM FHIR R4, CDSCO SaMD Class 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0052FF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45.0 TOPS</w:t>
              <w:br/>
            </w:r>
            <w:r>
              <w:rPr>
                <w:color w:val="00C8FF"/>
                <w:sz w:val="14"/>
              </w:rPr>
              <w:t>Qualcomm</w:t>
              <w:br/>
              <w:t>Hexagon NPU</w:t>
            </w:r>
          </w:p>
        </w:tc>
        <w:tc>
          <w:tcPr>
            <w:tcW w:type="dxa" w:w="1680"/>
            <w:shd w:val="clear" w:color="auto" w:fill="0A66C2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Sub-15 ms</w:t>
              <w:br/>
            </w:r>
            <w:r>
              <w:rPr>
                <w:color w:val="00C8FF"/>
                <w:sz w:val="14"/>
              </w:rPr>
              <w:t>Per-Modality</w:t>
              <w:br/>
              <w:t>Inference</w:t>
            </w:r>
          </w:p>
        </w:tc>
        <w:tc>
          <w:tcPr>
            <w:tcW w:type="dxa" w:w="1680"/>
            <w:shd w:val="clear" w:color="auto" w:fill="0052FF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26+ Hours</w:t>
              <w:br/>
            </w:r>
            <w:r>
              <w:rPr>
                <w:color w:val="00C8FF"/>
                <w:sz w:val="14"/>
              </w:rPr>
              <w:t>Off-Grid</w:t>
              <w:br/>
              <w:t>Battery</w:t>
            </w:r>
          </w:p>
        </w:tc>
        <w:tc>
          <w:tcPr>
            <w:tcW w:type="dxa" w:w="1680"/>
            <w:shd w:val="clear" w:color="auto" w:fill="0A66C2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100% Offline</w:t>
              <w:br/>
            </w:r>
            <w:r>
              <w:rPr>
                <w:color w:val="00C8FF"/>
                <w:sz w:val="14"/>
              </w:rPr>
              <w:t>Zero Cloud</w:t>
              <w:br/>
              <w:t>Egress</w:t>
            </w:r>
          </w:p>
        </w:tc>
        <w:tc>
          <w:tcPr>
            <w:tcW w:type="dxa" w:w="1680"/>
            <w:shd w:val="clear" w:color="auto" w:fill="0052FF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82.9% Savings</w:t>
              <w:br/>
            </w:r>
            <w:r>
              <w:rPr>
                <w:color w:val="00C8FF"/>
                <w:sz w:val="14"/>
              </w:rPr>
              <w:t>Jan Aushadhi</w:t>
              <w:br/>
              <w:t>Rx AI</w:t>
            </w:r>
          </w:p>
        </w:tc>
        <w:tc>
          <w:tcPr>
            <w:tcW w:type="dxa" w:w="1680"/>
            <w:shd w:val="clear" w:color="auto" w:fill="0A66C2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35/35 Gates</w:t>
              <w:br/>
            </w:r>
            <w:r>
              <w:rPr>
                <w:color w:val="00C8FF"/>
                <w:sz w:val="14"/>
              </w:rPr>
              <w:t>EXIT CODE 0</w:t>
              <w:br/>
              <w:t>Verified</w:t>
            </w:r>
          </w:p>
        </w:tc>
      </w:tr>
    </w:tbl>
    <w:p>
      <w:pPr>
        <w:spacing w:after="16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94A3B8"/>
          <w:sz w:val="16"/>
        </w:rPr>
        <w:t>Figure 1: OmniCare AI Clinical Cockpit — 6 simultaneous diagnostic AI modalities at sub-15ms latency on the 45.0 TOPS Qualcomm Hexagon NPU HTP v73</w:t>
      </w:r>
    </w:p>
    <w:p>
      <w:pPr>
        <w:spacing w:before="280" w:after="60"/>
      </w:pPr>
      <w:r>
        <w:rPr>
          <w:rFonts w:ascii="Calibri" w:hAnsi="Calibri"/>
          <w:b/>
          <w:color w:val="0052FF"/>
          <w:sz w:val="25"/>
        </w:rPr>
        <w:t>1.  The Problem — India's Rural Healthcare Crisis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052FF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color w:val="1E293B"/>
          <w:sz w:val="19"/>
        </w:rPr>
        <w:t>India faces a staggering primary care deficit: 1 doctor per 1,511 citizens (WHO minimum 1:1,000), leaving over 68% of the country's 1.4 billion population across 600,000 rural villages without access to specialist diagnostics. Traditional telemedicine fails catastrophically in these regions due to intermittent 2G/4G connectivity (&gt;800ms latency, high packet loss), frequent electrical load-shedding, and strict data privacy regulations under India's Digital Personal Data Protection (DPDP) Act 2023, which criminalizes unencrypted cloud uploads of sensitive biometric and health data.</w:t>
      </w:r>
    </w:p>
    <w:p>
      <w:pPr>
        <w:spacing w:after="80"/>
      </w:pPr>
      <w:r>
        <w:rPr>
          <w:rFonts w:ascii="Calibri" w:hAnsi="Calibri"/>
          <w:color w:val="1E293B"/>
          <w:sz w:val="19"/>
        </w:rPr>
        <w:t>Frontline Community Health Officers (CHOs) at 150,000 Ayushman Bharat Health &amp; Wellness Centres (AB-HWCs) are forced to rely on delayed referrals, leading to preventable mortality from undetected acute coronary syndromes (STEMI), unmanaged pneumonia, and progressing diabetic retinopathy. OmniCare AI solves this by putting tertiary-grade diagnostic intelligence directly into frontline hands.</w:t>
      </w:r>
    </w:p>
    <w:p>
      <w:pPr>
        <w:spacing w:before="280" w:after="60"/>
      </w:pPr>
      <w:r>
        <w:rPr>
          <w:rFonts w:ascii="Calibri" w:hAnsi="Calibri"/>
          <w:b/>
          <w:color w:val="0052FF"/>
          <w:sz w:val="25"/>
        </w:rPr>
        <w:t>2.  The Solution &amp; Platform Alignment — Snapdragon X Elite + HP OmniBook X 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052FF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color w:val="1E293B"/>
          <w:sz w:val="19"/>
        </w:rPr>
        <w:t>OmniCare AI transforms standard Snapdragon-powered HP PCs (HP OmniBook X 14 / HP EliteBook Ultra G1q) into completely autonomous, hospital-grade diagnostic workstations. By targeting the dedicated 45 TOPS Qualcomm Hexagon NPU (HTP v73) using Qualcomm AI Hub QNN execution providers, OmniCare AI runs 6 complex diagnostic models simultaneously in sub-15ms with 100% zero cloud egress.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052FF"/>
          </w:tcPr>
          <w:p>
            <w:r>
              <w:rPr>
                <w:b/>
                <w:color w:val="FFFFFF"/>
                <w:sz w:val="16"/>
              </w:rPr>
              <w:t>Hardware Subsystem</w:t>
            </w:r>
          </w:p>
        </w:tc>
        <w:tc>
          <w:tcPr>
            <w:tcW w:type="dxa" w:w="3360"/>
            <w:shd w:val="clear" w:color="auto" w:fill="0052FF"/>
          </w:tcPr>
          <w:p>
            <w:r>
              <w:rPr>
                <w:b/>
                <w:color w:val="FFFFFF"/>
                <w:sz w:val="16"/>
              </w:rPr>
              <w:t>Technical Specification</w:t>
            </w:r>
          </w:p>
        </w:tc>
        <w:tc>
          <w:tcPr>
            <w:tcW w:type="dxa" w:w="3360"/>
            <w:shd w:val="clear" w:color="auto" w:fill="0052FF"/>
          </w:tcPr>
          <w:p>
            <w:r>
              <w:rPr>
                <w:b/>
                <w:color w:val="FFFFFF"/>
                <w:sz w:val="16"/>
              </w:rPr>
              <w:t>OmniCare AI Co-Design Benefit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6"/>
              </w:rPr>
              <w:t>Qualcomm Hexagon NPU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6"/>
              </w:rPr>
              <w:t>45.0 TOPS HTP v73 (INT8/INT4)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6"/>
              </w:rPr>
              <w:t>Sub-15ms local inference across all 6 models; &gt;4 TOPS/Watt efficiency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>
              <w:rPr>
                <w:sz w:val="16"/>
              </w:rPr>
              <w:t>Snapdragon X Elite SoC</w:t>
            </w:r>
          </w:p>
        </w:tc>
        <w:tc>
          <w:tcPr>
            <w:tcW w:type="dxa" w:w="3360"/>
            <w:shd w:val="clear" w:color="auto" w:fill="F8FAFC"/>
          </w:tcPr>
          <w:p>
            <w:r>
              <w:rPr>
                <w:sz w:val="16"/>
              </w:rPr>
              <w:t>12-core Oryon CPU @ 4.0 GHz</w:t>
            </w:r>
          </w:p>
        </w:tc>
        <w:tc>
          <w:tcPr>
            <w:tcW w:type="dxa" w:w="3360"/>
            <w:shd w:val="clear" w:color="auto" w:fill="F8FAFC"/>
          </w:tcPr>
          <w:p>
            <w:r>
              <w:rPr>
                <w:sz w:val="16"/>
              </w:rPr>
              <w:t>FastAPI asynchronous concurrency &amp; multithreaded DSP signal pipelines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6"/>
              </w:rPr>
              <w:t>HP Smart Sense Governor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6"/>
              </w:rPr>
              <w:t>Performance / Balanced / Eco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6"/>
              </w:rPr>
              <w:t>Dynamic thermal scaling; &lt;20 dBA acoustic floor for silent stethoscopy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>
              <w:rPr>
                <w:sz w:val="16"/>
              </w:rPr>
              <w:t>HP Poly Studio Mics</w:t>
            </w:r>
          </w:p>
        </w:tc>
        <w:tc>
          <w:tcPr>
            <w:tcW w:type="dxa" w:w="3360"/>
            <w:shd w:val="clear" w:color="auto" w:fill="F8FAFC"/>
          </w:tcPr>
          <w:p>
            <w:r>
              <w:rPr>
                <w:sz w:val="16"/>
              </w:rPr>
              <w:t>Dual beamforming microphone array</w:t>
            </w:r>
          </w:p>
        </w:tc>
        <w:tc>
          <w:tcPr>
            <w:tcW w:type="dxa" w:w="3360"/>
            <w:shd w:val="clear" w:color="auto" w:fill="F8FAFC"/>
          </w:tcPr>
          <w:p>
            <w:r>
              <w:rPr>
                <w:sz w:val="16"/>
              </w:rPr>
              <w:t>38.4 dB bell-friction suppression; late-inspiratory pulmonary phase gating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6"/>
              </w:rPr>
              <w:t>HP True Vision 5MP IR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6"/>
              </w:rPr>
              <w:t>60 FPS IR global shutter sensor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6"/>
              </w:rPr>
              <w:t>Contactless rPPG: Heart Rate, SpO2%, Respiration Rate, Hemodynamic Shock Index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r>
              <w:rPr>
                <w:sz w:val="16"/>
              </w:rPr>
              <w:t>Battery Subsystem</w:t>
            </w:r>
          </w:p>
        </w:tc>
        <w:tc>
          <w:tcPr>
            <w:tcW w:type="dxa" w:w="3360"/>
            <w:shd w:val="clear" w:color="auto" w:fill="F8FAFC"/>
          </w:tcPr>
          <w:p>
            <w:r>
              <w:rPr>
                <w:sz w:val="16"/>
              </w:rPr>
              <w:t>3-cell 59 Wh Li-polymer</w:t>
            </w:r>
          </w:p>
        </w:tc>
        <w:tc>
          <w:tcPr>
            <w:tcW w:type="dxa" w:w="3360"/>
            <w:shd w:val="clear" w:color="auto" w:fill="F8FAFC"/>
          </w:tcPr>
          <w:p>
            <w:r>
              <w:rPr>
                <w:sz w:val="16"/>
              </w:rPr>
              <w:t>26+ hours continuous off-grid operation (Eco Mode) during power outages</w:t>
            </w:r>
          </w:p>
        </w:tc>
      </w:tr>
    </w:tbl>
    <w:p>
      <w:pPr>
        <w:spacing w:after="80"/>
      </w:pPr>
    </w:p>
    <w:p>
      <w:pPr>
        <w:spacing w:before="280" w:after="60"/>
      </w:pPr>
      <w:r>
        <w:rPr>
          <w:rFonts w:ascii="Calibri" w:hAnsi="Calibri"/>
          <w:b/>
          <w:color w:val="0052FF"/>
          <w:sz w:val="25"/>
        </w:rPr>
        <w:t>3.  Multimodal Diagnostic AI Engines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052FF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color w:val="1E293B"/>
          <w:sz w:val="19"/>
        </w:rPr>
        <w:t>OmniCare AI integrates six discrete diagnostic modalities optimized for the Hexagon NPU: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0052FF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680"/>
            <w:shd w:val="clear" w:color="auto" w:fill="0052FF"/>
          </w:tcPr>
          <w:p>
            <w:r>
              <w:rPr>
                <w:b/>
                <w:color w:val="FFFFFF"/>
                <w:sz w:val="16"/>
              </w:rPr>
              <w:t>Diagnostic Modality</w:t>
            </w:r>
          </w:p>
        </w:tc>
        <w:tc>
          <w:tcPr>
            <w:tcW w:type="dxa" w:w="1680"/>
            <w:shd w:val="clear" w:color="auto" w:fill="0052FF"/>
          </w:tcPr>
          <w:p>
            <w:r>
              <w:rPr>
                <w:b/>
                <w:color w:val="FFFFFF"/>
                <w:sz w:val="16"/>
              </w:rPr>
              <w:t>Model Architecture</w:t>
            </w:r>
          </w:p>
        </w:tc>
        <w:tc>
          <w:tcPr>
            <w:tcW w:type="dxa" w:w="1680"/>
            <w:shd w:val="clear" w:color="auto" w:fill="0052FF"/>
          </w:tcPr>
          <w:p>
            <w:r>
              <w:rPr>
                <w:b/>
                <w:color w:val="FFFFFF"/>
                <w:sz w:val="16"/>
              </w:rPr>
              <w:t>Precision</w:t>
            </w:r>
          </w:p>
        </w:tc>
        <w:tc>
          <w:tcPr>
            <w:tcW w:type="dxa" w:w="1680"/>
            <w:shd w:val="clear" w:color="auto" w:fill="0052FF"/>
          </w:tcPr>
          <w:p>
            <w:r>
              <w:rPr>
                <w:b/>
                <w:color w:val="FFFFFF"/>
                <w:sz w:val="16"/>
              </w:rPr>
              <w:t>Latency</w:t>
            </w:r>
          </w:p>
        </w:tc>
        <w:tc>
          <w:tcPr>
            <w:tcW w:type="dxa" w:w="1680"/>
            <w:shd w:val="clear" w:color="auto" w:fill="0052FF"/>
          </w:tcPr>
          <w:p>
            <w:r>
              <w:rPr>
                <w:b/>
                <w:color w:val="FFFFFF"/>
                <w:sz w:val="16"/>
              </w:rPr>
              <w:t>Clinical Output</w:t>
            </w:r>
          </w:p>
        </w:tc>
      </w:tr>
      <w:tr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Dermatology &amp; Retina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YOLOv8-Seg + ResNet-50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INT8 QNN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9.4 ms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Melanoma Stolz TDS, Monk Skin Tone (MST 1-10), DR microaneurysms</w:t>
            </w:r>
          </w:p>
        </w:tc>
      </w:tr>
      <w:tr>
        <w:tc>
          <w:tcPr>
            <w:tcW w:type="dxa" w:w="1680"/>
            <w:shd w:val="clear" w:color="auto" w:fill="F8FAFC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680"/>
            <w:shd w:val="clear" w:color="auto" w:fill="F8FAFC"/>
          </w:tcPr>
          <w:p>
            <w:r>
              <w:rPr>
                <w:sz w:val="16"/>
              </w:rPr>
              <w:t>Pulmonary Stethoscopy</w:t>
            </w:r>
          </w:p>
        </w:tc>
        <w:tc>
          <w:tcPr>
            <w:tcW w:type="dxa" w:w="1680"/>
            <w:shd w:val="clear" w:color="auto" w:fill="F8FAFC"/>
          </w:tcPr>
          <w:p>
            <w:r>
              <w:rPr>
                <w:sz w:val="16"/>
              </w:rPr>
              <w:t>YAMNet Acoustic Classifier</w:t>
            </w:r>
          </w:p>
        </w:tc>
        <w:tc>
          <w:tcPr>
            <w:tcW w:type="dxa" w:w="1680"/>
            <w:shd w:val="clear" w:color="auto" w:fill="F8FAFC"/>
          </w:tcPr>
          <w:p>
            <w:r>
              <w:rPr>
                <w:sz w:val="16"/>
              </w:rPr>
              <w:t>INT8 QNN</w:t>
            </w:r>
          </w:p>
        </w:tc>
        <w:tc>
          <w:tcPr>
            <w:tcW w:type="dxa" w:w="1680"/>
            <w:shd w:val="clear" w:color="auto" w:fill="F8FAFC"/>
          </w:tcPr>
          <w:p>
            <w:r>
              <w:rPr>
                <w:sz w:val="16"/>
              </w:rPr>
              <w:t>7.1 ms</w:t>
            </w:r>
          </w:p>
        </w:tc>
        <w:tc>
          <w:tcPr>
            <w:tcW w:type="dxa" w:w="1680"/>
            <w:shd w:val="clear" w:color="auto" w:fill="F8FAFC"/>
          </w:tcPr>
          <w:p>
            <w:r>
              <w:rPr>
                <w:sz w:val="16"/>
              </w:rPr>
              <w:t>Pneumonia crackles, wheezes, stridor; 38.4 dB friction gating</w:t>
            </w:r>
          </w:p>
        </w:tc>
      </w:tr>
      <w:tr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Clinical Voice Dictation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Whisper-Small Speech-to-Text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INT8 QNN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12.8 ms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Multilingual Indian medical vocabulary &amp; accent transcription</w:t>
            </w:r>
          </w:p>
        </w:tc>
      </w:tr>
      <w:tr>
        <w:tc>
          <w:tcPr>
            <w:tcW w:type="dxa" w:w="1680"/>
            <w:shd w:val="clear" w:color="auto" w:fill="F8FAFC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680"/>
            <w:shd w:val="clear" w:color="auto" w:fill="F8FAFC"/>
          </w:tcPr>
          <w:p>
            <w:r>
              <w:rPr>
                <w:sz w:val="16"/>
              </w:rPr>
              <w:t>Clinical SOAP Scribing</w:t>
            </w:r>
          </w:p>
        </w:tc>
        <w:tc>
          <w:tcPr>
            <w:tcW w:type="dxa" w:w="1680"/>
            <w:shd w:val="clear" w:color="auto" w:fill="F8FAFC"/>
          </w:tcPr>
          <w:p>
            <w:r>
              <w:rPr>
                <w:sz w:val="16"/>
              </w:rPr>
              <w:t>Llama-3.2-3B Instruct LLM</w:t>
            </w:r>
          </w:p>
        </w:tc>
        <w:tc>
          <w:tcPr>
            <w:tcW w:type="dxa" w:w="1680"/>
            <w:shd w:val="clear" w:color="auto" w:fill="F8FAFC"/>
          </w:tcPr>
          <w:p>
            <w:r>
              <w:rPr>
                <w:sz w:val="16"/>
              </w:rPr>
              <w:t>INT4 HTP</w:t>
            </w:r>
          </w:p>
        </w:tc>
        <w:tc>
          <w:tcPr>
            <w:tcW w:type="dxa" w:w="1680"/>
            <w:shd w:val="clear" w:color="auto" w:fill="F8FAFC"/>
          </w:tcPr>
          <w:p>
            <w:r>
              <w:rPr>
                <w:sz w:val="16"/>
              </w:rPr>
              <w:t>34.2 tok/s</w:t>
            </w:r>
          </w:p>
        </w:tc>
        <w:tc>
          <w:tcPr>
            <w:tcW w:type="dxa" w:w="1680"/>
            <w:shd w:val="clear" w:color="auto" w:fill="F8FAFC"/>
          </w:tcPr>
          <w:p>
            <w:r>
              <w:rPr>
                <w:sz w:val="16"/>
              </w:rPr>
              <w:t>Structured Subjective/Objective/Assessment/Plan + WHO ICD-10-CM</w:t>
            </w:r>
          </w:p>
        </w:tc>
      </w:tr>
      <w:tr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Contactless rPPG Vitals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Plane-Orthogonal-to-Skin (POS-Net)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INT8 QNN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8.2 ms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Heart Rate, SpO2%, RR, HRV, Hemodynamic Shock Index, 60 FPS PPG</w:t>
            </w:r>
          </w:p>
        </w:tc>
      </w:tr>
      <w:tr>
        <w:tc>
          <w:tcPr>
            <w:tcW w:type="dxa" w:w="1680"/>
            <w:shd w:val="clear" w:color="auto" w:fill="F8FAFC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680"/>
            <w:shd w:val="clear" w:color="auto" w:fill="F8FAFC"/>
          </w:tcPr>
          <w:p>
            <w:r>
              <w:rPr>
                <w:sz w:val="16"/>
              </w:rPr>
              <w:t>Paper ECG Digitizer</w:t>
            </w:r>
          </w:p>
        </w:tc>
        <w:tc>
          <w:tcPr>
            <w:tcW w:type="dxa" w:w="1680"/>
            <w:shd w:val="clear" w:color="auto" w:fill="F8FAFC"/>
          </w:tcPr>
          <w:p>
            <w:r>
              <w:rPr>
                <w:sz w:val="16"/>
              </w:rPr>
              <w:t>PTB-XL Arrhythmia AI + Grid Filter</w:t>
            </w:r>
          </w:p>
        </w:tc>
        <w:tc>
          <w:tcPr>
            <w:tcW w:type="dxa" w:w="1680"/>
            <w:shd w:val="clear" w:color="auto" w:fill="F8FAFC"/>
          </w:tcPr>
          <w:p>
            <w:r>
              <w:rPr>
                <w:sz w:val="16"/>
              </w:rPr>
              <w:t>INT8 QNN</w:t>
            </w:r>
          </w:p>
        </w:tc>
        <w:tc>
          <w:tcPr>
            <w:tcW w:type="dxa" w:w="1680"/>
            <w:shd w:val="clear" w:color="auto" w:fill="F8FAFC"/>
          </w:tcPr>
          <w:p>
            <w:r>
              <w:rPr>
                <w:sz w:val="16"/>
              </w:rPr>
              <w:t>6.8 ms</w:t>
            </w:r>
          </w:p>
        </w:tc>
        <w:tc>
          <w:tcPr>
            <w:tcW w:type="dxa" w:w="1680"/>
            <w:shd w:val="clear" w:color="auto" w:fill="F8FAFC"/>
          </w:tcPr>
          <w:p>
            <w:r>
              <w:rPr>
                <w:sz w:val="16"/>
              </w:rPr>
              <w:t>98.4% grid suppression, STEMI, AFib, PVCs, PR/QRS/QTc intervals</w:t>
            </w:r>
          </w:p>
        </w:tc>
      </w:tr>
    </w:tbl>
    <w:p>
      <w:pPr>
        <w:spacing w:after="80"/>
      </w:pPr>
    </w:p>
    <w:p>
      <w:pPr>
        <w:spacing w:before="280" w:after="60"/>
      </w:pPr>
      <w:r>
        <w:rPr>
          <w:rFonts w:ascii="Calibri" w:hAnsi="Calibri"/>
          <w:b/>
          <w:color w:val="0052FF"/>
          <w:sz w:val="25"/>
        </w:rPr>
        <w:t>4.  Ten Distributed Edge Advancements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052FF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spacing w:before="30" w:after="30"/>
        <w:ind w:left="288"/>
      </w:pPr>
      <w:r>
        <w:rPr>
          <w:b/>
          <w:color w:val="0052FF"/>
          <w:sz w:val="19"/>
        </w:rPr>
        <w:t xml:space="preserve">•  ADV-01 (NEWS2 Early Warning Score): </w:t>
      </w:r>
      <w:r>
        <w:rPr>
          <w:color w:val="1E293B"/>
          <w:sz w:val="19"/>
        </w:rPr>
        <w:t>Automated Royal College of Physicians 7-vital deterioration scoring with emergency ICU escalation pathways.</w:t>
      </w:r>
    </w:p>
    <w:p>
      <w:pPr>
        <w:spacing w:before="30" w:after="30"/>
        <w:ind w:left="288"/>
      </w:pPr>
      <w:r>
        <w:rPr>
          <w:b/>
          <w:color w:val="0052FF"/>
          <w:sz w:val="19"/>
        </w:rPr>
        <w:t xml:space="preserve">•  ADV-02 (PMBJP Jan Aushadhi Substitution): </w:t>
      </w:r>
      <w:r>
        <w:rPr>
          <w:color w:val="1E293B"/>
          <w:sz w:val="19"/>
        </w:rPr>
        <w:t>Maps expensive branded medications to 10,000+ government generics, yielding 82.9% average out-of-pocket savings.</w:t>
      </w:r>
    </w:p>
    <w:p>
      <w:pPr>
        <w:spacing w:before="30" w:after="30"/>
        <w:ind w:left="288"/>
      </w:pPr>
      <w:r>
        <w:rPr>
          <w:b/>
          <w:color w:val="0052FF"/>
          <w:sz w:val="19"/>
        </w:rPr>
        <w:t xml:space="preserve">•  ADV-03 (CYP450 Drug-Drug Interaction AI): </w:t>
      </w:r>
      <w:r>
        <w:rPr>
          <w:color w:val="1E293B"/>
          <w:sz w:val="19"/>
        </w:rPr>
        <w:t>Real-time enzymatic interaction screening catching critical contraindications (e.g., Clopidogrel + Omeprazole).</w:t>
      </w:r>
    </w:p>
    <w:p>
      <w:pPr>
        <w:spacing w:before="30" w:after="30"/>
        <w:ind w:left="288"/>
      </w:pPr>
      <w:r>
        <w:rPr>
          <w:b/>
          <w:color w:val="0052FF"/>
          <w:sz w:val="19"/>
        </w:rPr>
        <w:t xml:space="preserve">•  ADV-04 (Multi-Agent Specialist Council): </w:t>
      </w:r>
      <w:r>
        <w:rPr>
          <w:color w:val="1E293B"/>
          <w:sz w:val="19"/>
        </w:rPr>
        <w:t>4 discrete AI agents (Cardiology, Pulmonology, Dermatology, General Medicine) arbitrated by a Chief Medical Officer.</w:t>
      </w:r>
    </w:p>
    <w:p>
      <w:pPr>
        <w:spacing w:before="30" w:after="30"/>
        <w:ind w:left="288"/>
      </w:pPr>
      <w:r>
        <w:rPr>
          <w:b/>
          <w:color w:val="0052FF"/>
          <w:sz w:val="19"/>
        </w:rPr>
        <w:t xml:space="preserve">•  ADV-05 (Handheld POCUS Ultrasound AI): </w:t>
      </w:r>
      <w:r>
        <w:rPr>
          <w:color w:val="1E293B"/>
          <w:sz w:val="19"/>
        </w:rPr>
        <w:t>USB-C probe integration analyzing cardiac Left Ventricular Ejection Fraction (LVEF %) and Pleural Sliding Signs.</w:t>
      </w:r>
    </w:p>
    <w:p>
      <w:pPr>
        <w:spacing w:before="30" w:after="30"/>
        <w:ind w:left="288"/>
      </w:pPr>
      <w:r>
        <w:rPr>
          <w:b/>
          <w:color w:val="0052FF"/>
          <w:sz w:val="19"/>
        </w:rPr>
        <w:t xml:space="preserve">•  ADV-06 (8 Indian Vernacular Languages): </w:t>
      </w:r>
      <w:r>
        <w:rPr>
          <w:color w:val="1E293B"/>
          <w:sz w:val="19"/>
        </w:rPr>
        <w:t>On-device synthesized counseling in Hindi, Tamil, Telugu, Kannada, Bengali, Marathi, Malayalam, and Gujarati.</w:t>
      </w:r>
    </w:p>
    <w:p>
      <w:pPr>
        <w:spacing w:before="30" w:after="30"/>
        <w:ind w:left="288"/>
      </w:pPr>
      <w:r>
        <w:rPr>
          <w:b/>
          <w:color w:val="0052FF"/>
          <w:sz w:val="19"/>
        </w:rPr>
        <w:t xml:space="preserve">•  ADV-07 (DICOM 3.0 Web-PACS Micro-Server): </w:t>
      </w:r>
      <w:r>
        <w:rPr>
          <w:color w:val="1E293B"/>
          <w:sz w:val="19"/>
        </w:rPr>
        <w:t>Zero-footprint embedded PACS server with WADO-RS / QIDO-RS protocols and browser-based Hounsfield Unit windowing.</w:t>
      </w:r>
    </w:p>
    <w:p>
      <w:pPr>
        <w:spacing w:before="30" w:after="30"/>
        <w:ind w:left="288"/>
      </w:pPr>
      <w:r>
        <w:rPr>
          <w:b/>
          <w:color w:val="0052FF"/>
          <w:sz w:val="19"/>
        </w:rPr>
        <w:t xml:space="preserve">•  ADV-08 (DP-SGD Federated Privacy Bounds): </w:t>
      </w:r>
      <w:r>
        <w:rPr>
          <w:color w:val="1E293B"/>
          <w:sz w:val="19"/>
        </w:rPr>
        <w:t>Differential Privacy bounds (eps=1.2, delta=1e-5) ensuring zero biometric face or voice inversion during edge sync.</w:t>
      </w:r>
    </w:p>
    <w:p>
      <w:pPr>
        <w:spacing w:before="30" w:after="30"/>
        <w:ind w:left="288"/>
      </w:pPr>
      <w:r>
        <w:rPr>
          <w:b/>
          <w:color w:val="0052FF"/>
          <w:sz w:val="19"/>
        </w:rPr>
        <w:t xml:space="preserve">•  ADV-09 (HP Wolf Security Hardware Enclave): </w:t>
      </w:r>
      <w:r>
        <w:rPr>
          <w:color w:val="1E293B"/>
          <w:sz w:val="19"/>
        </w:rPr>
        <w:t>Hardware-isolated AES-256-GCM record vault with SHA-256 Merkle audit chaining for tamper-evident data sovereignty.</w:t>
      </w:r>
    </w:p>
    <w:p>
      <w:pPr>
        <w:spacing w:before="30" w:after="30"/>
        <w:ind w:left="288"/>
      </w:pPr>
      <w:r>
        <w:rPr>
          <w:b/>
          <w:color w:val="0052FF"/>
          <w:sz w:val="19"/>
        </w:rPr>
        <w:t xml:space="preserve">•  ADV-10 (NRCeS ABDM FHIR R4 Bundle Export): </w:t>
      </w:r>
      <w:r>
        <w:rPr>
          <w:color w:val="1E293B"/>
          <w:sz w:val="19"/>
        </w:rPr>
        <w:t>One-click compliant JSON bundle export linking Ayushman Bharat Health Account (ABHA ID) for national interoperability.</w:t>
      </w:r>
    </w:p>
    <w:p>
      <w:pPr>
        <w:spacing w:before="280" w:after="60"/>
      </w:pPr>
      <w:r>
        <w:rPr>
          <w:rFonts w:ascii="Calibri" w:hAnsi="Calibri"/>
          <w:b/>
          <w:color w:val="0052FF"/>
          <w:sz w:val="25"/>
        </w:rPr>
        <w:t>5.  Regulatory Compliance &amp; National Health Sovereignty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052FF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0052FF"/>
          </w:tcPr>
          <w:p>
            <w:r>
              <w:rPr>
                <w:b/>
                <w:color w:val="FFFFFF"/>
                <w:sz w:val="16"/>
              </w:rPr>
              <w:t>Regulatory Standard</w:t>
            </w:r>
          </w:p>
        </w:tc>
        <w:tc>
          <w:tcPr>
            <w:tcW w:type="dxa" w:w="2520"/>
            <w:shd w:val="clear" w:color="auto" w:fill="0052FF"/>
          </w:tcPr>
          <w:p>
            <w:r>
              <w:rPr>
                <w:b/>
                <w:color w:val="FFFFFF"/>
                <w:sz w:val="16"/>
              </w:rPr>
              <w:t>Governing Body</w:t>
            </w:r>
          </w:p>
        </w:tc>
        <w:tc>
          <w:tcPr>
            <w:tcW w:type="dxa" w:w="2520"/>
            <w:shd w:val="clear" w:color="auto" w:fill="0052FF"/>
          </w:tcPr>
          <w:p>
            <w:r>
              <w:rPr>
                <w:b/>
                <w:color w:val="FFFFFF"/>
                <w:sz w:val="16"/>
              </w:rPr>
              <w:t>Compliance Status</w:t>
            </w:r>
          </w:p>
        </w:tc>
        <w:tc>
          <w:tcPr>
            <w:tcW w:type="dxa" w:w="2520"/>
            <w:shd w:val="clear" w:color="auto" w:fill="0052FF"/>
          </w:tcPr>
          <w:p>
            <w:r>
              <w:rPr>
                <w:b/>
                <w:color w:val="FFFFFF"/>
                <w:sz w:val="16"/>
              </w:rPr>
              <w:t>Architectural Implementation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India DPDP Act 2023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Ministry of Electronics &amp; IT (MeitY)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b/>
                <w:color w:val="10B981"/>
                <w:sz w:val="16"/>
              </w:rPr>
              <w:t>100% COMPLIANT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Zero cloud egress; AES-256-GCM encrypted local vault; zero biometric leaks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NRCeS ABDM FHIR R4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National Health Authority (NHA)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b/>
                <w:color w:val="10B981"/>
                <w:sz w:val="16"/>
              </w:rPr>
              <w:t>100% COMPLIANT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Standardized FHIR R4 clinical bundles with ABHA ID export at /api/export/fhir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CDSCO SaMD MDR-2017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Central Drugs Standard Control Org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b/>
                <w:color w:val="10B981"/>
                <w:sz w:val="16"/>
              </w:rPr>
              <w:t>CLASS B ALIGNED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Clinical Decision Support with mandatory human-in-the-loop confirmation gates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IEC 62304 / ISO 14971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IEC / ISO Medical Device Standards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b/>
                <w:color w:val="10B981"/>
                <w:sz w:val="16"/>
              </w:rPr>
              <w:t>ARCHITECTED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Software lifecycle risk management &amp; deterministic emergency safety guardrails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PMBJP Jan Aushadhi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Dept of Pharmaceuticals, GoI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b/>
                <w:color w:val="10B981"/>
                <w:sz w:val="16"/>
              </w:rPr>
              <w:t>INTEGRATED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AI-driven generic drug substitution reducing prescription costs by 82.9%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HP Wolf Security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HP Inc.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b/>
                <w:color w:val="10B981"/>
                <w:sz w:val="16"/>
              </w:rPr>
              <w:t>INTEGRATED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Hardware enclave encryption with SHA-256 Merkle chain tamper evidence</w:t>
            </w:r>
          </w:p>
        </w:tc>
      </w:tr>
    </w:tbl>
    <w:p>
      <w:pPr>
        <w:spacing w:after="80"/>
      </w:pPr>
    </w:p>
    <w:p>
      <w:pPr>
        <w:spacing w:before="280" w:after="60"/>
      </w:pPr>
      <w:r>
        <w:rPr>
          <w:rFonts w:ascii="Calibri" w:hAnsi="Calibri"/>
          <w:b/>
          <w:color w:val="0052FF"/>
          <w:sz w:val="25"/>
        </w:rPr>
        <w:t>6.  Automated Quality Gates &amp; Verification Matrix (35/35 Passing)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052FF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color w:val="1E293B"/>
          <w:sz w:val="19"/>
        </w:rPr>
        <w:t>OmniCare AI features a rigorous regression suite executed via FastAPI TestClient in-memory (zero external ports). All 35 gates pass cleanly with exit code 0 and an average pipeline latency of under 10ms: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0052FF"/>
          </w:tcPr>
          <w:p>
            <w:r>
              <w:rPr>
                <w:b/>
                <w:color w:val="FFFFFF"/>
                <w:sz w:val="16"/>
              </w:rPr>
              <w:t>Verification Category</w:t>
            </w:r>
          </w:p>
        </w:tc>
        <w:tc>
          <w:tcPr>
            <w:tcW w:type="dxa" w:w="2520"/>
            <w:shd w:val="clear" w:color="auto" w:fill="0052FF"/>
          </w:tcPr>
          <w:p>
            <w:r>
              <w:rPr>
                <w:b/>
                <w:color w:val="FFFFFF"/>
                <w:sz w:val="16"/>
              </w:rPr>
              <w:t>Gate Count</w:t>
            </w:r>
          </w:p>
        </w:tc>
        <w:tc>
          <w:tcPr>
            <w:tcW w:type="dxa" w:w="2520"/>
            <w:shd w:val="clear" w:color="auto" w:fill="0052FF"/>
          </w:tcPr>
          <w:p>
            <w:r>
              <w:rPr>
                <w:b/>
                <w:color w:val="FFFFFF"/>
                <w:sz w:val="16"/>
              </w:rPr>
              <w:t>Average Latency</w:t>
            </w:r>
          </w:p>
        </w:tc>
        <w:tc>
          <w:tcPr>
            <w:tcW w:type="dxa" w:w="2520"/>
            <w:shd w:val="clear" w:color="auto" w:fill="0052FF"/>
          </w:tcPr>
          <w:p>
            <w:r>
              <w:rPr>
                <w:b/>
                <w:color w:val="FFFFFF"/>
                <w:sz w:val="16"/>
              </w:rPr>
              <w:t>Verification Result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Diagnostic AI Modalities (6 engines)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6 tests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8.6 ms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b/>
                <w:color w:val="10B981"/>
                <w:sz w:val="16"/>
              </w:rPr>
              <w:t>PASSED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Clinical Intelligence (NEWS2, Council, DDI, Jan Aushadhi)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4 tests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4.3 ms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b/>
                <w:color w:val="10B981"/>
                <w:sz w:val="16"/>
              </w:rPr>
              <w:t>PASSED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Security Enclave &amp; Wolf Vault (AES-GCM, Merkle Audit)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3 tests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6.8 ms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b/>
                <w:color w:val="10B981"/>
                <w:sz w:val="16"/>
              </w:rPr>
              <w:t>PASSED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National Compliance &amp; ABDM FHIR R4 Export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2 tests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4.2 ms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b/>
                <w:color w:val="10B981"/>
                <w:sz w:val="16"/>
              </w:rPr>
              <w:t>PASSED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HP Smart Sense Governor &amp; Hardware Telemetry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3 tests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3.8 ms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b/>
                <w:color w:val="10B981"/>
                <w:sz w:val="16"/>
              </w:rPr>
              <w:t>PASSED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Patient Data Records &amp; CDSCO Safety Guardrails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3 tests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3.8 ms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b/>
                <w:color w:val="10B981"/>
                <w:sz w:val="16"/>
              </w:rPr>
              <w:t>PASSED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Robustness &amp; Edge-Cases (400, 404, 422, zero-division)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10 tests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4.1 ms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b/>
                <w:color w:val="10B981"/>
                <w:sz w:val="16"/>
              </w:rPr>
              <w:t>PASSED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Hardware Transparency &amp; Simulation Fallback Mode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4 tests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sz w:val="16"/>
              </w:rPr>
              <w:t>3.5 ms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b/>
                <w:color w:val="10B981"/>
                <w:sz w:val="16"/>
              </w:rPr>
              <w:t>PASSED</w:t>
            </w:r>
          </w:p>
        </w:tc>
      </w:tr>
    </w:tbl>
    <w:p>
      <w:pPr>
        <w:spacing w:after="80"/>
      </w:pPr>
    </w:p>
    <w:p>
      <w:pPr>
        <w:spacing w:before="280" w:after="60"/>
      </w:pPr>
      <w:r>
        <w:rPr>
          <w:rFonts w:ascii="Calibri" w:hAnsi="Calibri"/>
          <w:b/>
          <w:color w:val="0052FF"/>
          <w:sz w:val="25"/>
        </w:rPr>
        <w:t>8.  Fast-Track Inspection Guide for Challenge Judges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052FF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spacing w:before="30" w:after="30"/>
        <w:ind w:left="288"/>
      </w:pPr>
      <w:r>
        <w:rPr>
          <w:b/>
          <w:color w:val="0052FF"/>
          <w:sz w:val="19"/>
        </w:rPr>
        <w:t xml:space="preserve">•  Path A — 1-Click Standalone Showcase (Zero Setup): </w:t>
      </w:r>
      <w:r>
        <w:rPr>
          <w:color w:val="1E293B"/>
          <w:sz w:val="19"/>
        </w:rPr>
        <w:t>Open showcase/index.html directly in Chrome or Edge. Test all 4 clinical scenarios with 100% offline fallback resilience.</w:t>
      </w:r>
    </w:p>
    <w:p>
      <w:pPr>
        <w:spacing w:before="30" w:after="30"/>
        <w:ind w:left="288"/>
      </w:pPr>
      <w:r>
        <w:rPr>
          <w:b/>
          <w:color w:val="0052FF"/>
          <w:sz w:val="19"/>
        </w:rPr>
        <w:t xml:space="preserve">•  Path B — Full-Stack Clinical Cockpit: </w:t>
      </w:r>
      <w:r>
        <w:rPr>
          <w:color w:val="1E293B"/>
          <w:sz w:val="19"/>
        </w:rPr>
        <w:t>Launch .\launch_omnicare.ps1, open http://localhost:8000/docs for Swagger APIs, and open frontend/index.html for live cockpit.</w:t>
      </w:r>
    </w:p>
    <w:p>
      <w:pPr>
        <w:spacing w:before="30" w:after="30"/>
        <w:ind w:left="288"/>
      </w:pPr>
      <w:r>
        <w:rPr>
          <w:b/>
          <w:color w:val="0052FF"/>
          <w:sz w:val="19"/>
        </w:rPr>
        <w:t xml:space="preserve">•  Path C — Master Quality Gates Verification: </w:t>
      </w:r>
      <w:r>
        <w:rPr>
          <w:color w:val="1E293B"/>
          <w:sz w:val="19"/>
        </w:rPr>
        <w:t>Run: python verify_all.py or python backend/test_endpoints.py. All 35 gates pass cleanly (EXIT CODE 0).</w:t>
      </w:r>
    </w:p>
    <w:p>
      <w:pPr>
        <w:spacing w:before="30" w:after="30"/>
        <w:ind w:left="288"/>
      </w:pPr>
      <w:r>
        <w:rPr>
          <w:b/>
          <w:color w:val="0052FF"/>
          <w:sz w:val="19"/>
        </w:rPr>
        <w:t xml:space="preserve">•  Interactive Pitch Deck: </w:t>
      </w:r>
      <w:r>
        <w:rPr>
          <w:color w:val="1E293B"/>
          <w:sz w:val="19"/>
        </w:rPr>
        <w:t>Open showcase/pitch-deck.html. Navigate with Arrow keys or Spacebar. Press 'N' for speaker notes.</w:t>
      </w:r>
    </w:p>
    <w:p>
      <w:pPr>
        <w:spacing w:before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052FF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OmniCare AI  |  Qualcomm Snapdragon® AI Lab Build &amp; Present Challenge 2026  |  All 35/35 Gates PASSED (EXIT CODE 0)  |  github.com/Advik-harsha/OmniCare-AI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