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b/>
          <w:color w:val="0096D6"/>
          <w:sz w:val="36"/>
        </w:rPr>
        <w:t>OmniCare AI: On-Device Multimodal Clinical Intelligence Workstation</w:t>
      </w:r>
    </w:p>
    <w:p>
      <w:r>
        <w:rPr>
          <w:rFonts w:ascii="Arial" w:hAnsi="Arial"/>
          <w:b/>
          <w:color w:val="00D9FF"/>
          <w:sz w:val="22"/>
        </w:rPr>
        <w:t>Qualcomm Snapdragon® AI Lab Build &amp; Present Challenge 2026 — Solution Submission</w:t>
      </w:r>
    </w:p>
    <w:p>
      <w:r>
        <w:rPr>
          <w:rFonts w:ascii="Arial" w:hAnsi="Arial"/>
          <w:color w:val="64748B"/>
          <w:sz w:val="18"/>
        </w:rPr>
        <w:t>Target Hardware: HP OmniBook X 14 / HP EliteBook Ultra (Snapdragon® X Elite, 45 TOPS Hexagon™ NPU)</w:t>
        <w:br/>
        <w:t>Participant: Harsh Maurya (themauryaharsh@gmail.com) | GitHub: https://github.com/Advik123987/omnicare-snapdragon-ai</w:t>
      </w:r>
    </w:p>
    <w:p>
      <w:pPr>
        <w:spacing w:before="160" w:after="60"/>
      </w:pPr>
      <w:r>
        <w:rPr>
          <w:rFonts w:ascii="Arial" w:hAnsi="Arial"/>
          <w:b/>
          <w:color w:val="0096D6"/>
          <w:sz w:val="24"/>
        </w:rPr>
        <w:t>1. Executive Summary</w:t>
      </w:r>
    </w:p>
    <w:p>
      <w:pPr>
        <w:spacing w:line="276" w:lineRule="auto" w:after="80"/>
      </w:pPr>
      <w:r>
        <w:rPr>
          <w:rFonts w:ascii="Arial" w:hAnsi="Arial"/>
          <w:color w:val="1E293B"/>
          <w:sz w:val="20"/>
        </w:rPr>
        <w:t>OmniCare AI is an on-device, multi-modal clinical triage and diagnostic workstation engineered specifically for Snapdragon-powered HP PCs (HP OmniBook X / HP EliteBook Ultra). By harnessing the 45 TOPS Qualcomm® Hexagon™ NPU, OmniCare AI brings specialist-level dermatology, ophthalmology, and pulmonology screening to India's 70% rural population at sub-15ms latency with 100% on-device privacy (zero cloud transmissions). The system integrates five quantized models from the Qualcomm AI Hub, executes with 100% NPU offload via the Qualcomm QNN Execution Provider, complies strictly with the Digital Personal Data Protection (DPDP) Act 2023, and exports official Ayushman Bharat Digital Mission (ABDM) FHIR R4 JSON bundles.</w:t>
      </w:r>
    </w:p>
    <w:p>
      <w:pPr>
        <w:spacing w:before="160" w:after="60"/>
      </w:pPr>
      <w:r>
        <w:rPr>
          <w:rFonts w:ascii="Arial" w:hAnsi="Arial"/>
          <w:b/>
          <w:color w:val="0096D6"/>
          <w:sz w:val="24"/>
        </w:rPr>
        <w:t>2. Problem Statement &amp; Healthcare Crisis</w:t>
      </w:r>
    </w:p>
    <w:p>
      <w:pPr>
        <w:spacing w:line="276" w:lineRule="auto" w:after="80"/>
      </w:pPr>
      <w:r>
        <w:rPr>
          <w:rFonts w:ascii="Arial" w:hAnsi="Arial"/>
          <w:color w:val="1E293B"/>
          <w:sz w:val="20"/>
        </w:rPr>
        <w:t>Over 70% of India's population resides in rural villages served by only 0.7 doctors per 1,000 citizens. Dermatologists, pulmonologists, and ophthalmologists are concentrated almost exclusively in urban metro centers. While cloud AI and telemedicine exist, they suffer from three fatal barriers in rural field camps:</w:t>
      </w:r>
    </w:p>
    <w:p>
      <w:pPr>
        <w:pStyle w:val="ListBullet"/>
        <w:spacing w:after="40"/>
      </w:pPr>
      <w:r>
        <w:rPr>
          <w:rFonts w:ascii="Arial" w:hAnsi="Arial"/>
          <w:b/>
          <w:color w:val="1E293B"/>
          <w:sz w:val="20"/>
        </w:rPr>
        <w:t xml:space="preserve">Network Latency &amp; Outages: </w:t>
      </w:r>
      <w:r>
        <w:rPr>
          <w:rFonts w:ascii="Arial" w:hAnsi="Arial"/>
          <w:color w:val="1E293B"/>
          <w:sz w:val="20"/>
        </w:rPr>
        <w:t>1.5s to 4.0s cloud round-trips prevent real-time stethoscopy and dermoscopy. Connectivity frequently collapses entirely during rural off-grid camps.</w:t>
      </w:r>
    </w:p>
    <w:p>
      <w:pPr>
        <w:pStyle w:val="ListBullet"/>
        <w:spacing w:after="40"/>
      </w:pPr>
      <w:r>
        <w:rPr>
          <w:rFonts w:ascii="Arial" w:hAnsi="Arial"/>
          <w:b/>
          <w:color w:val="1E293B"/>
          <w:sz w:val="20"/>
        </w:rPr>
        <w:t xml:space="preserve">Recurring Cloud Costs: </w:t>
      </w:r>
      <w:r>
        <w:rPr>
          <w:rFonts w:ascii="Arial" w:hAnsi="Arial"/>
          <w:color w:val="1E293B"/>
          <w:sz w:val="20"/>
        </w:rPr>
        <w:t>Commercial APIs cost upwards of $1,500/month per clinic ($18,000/year), making large-scale public health deployments economically unviable.</w:t>
      </w:r>
    </w:p>
    <w:p>
      <w:pPr>
        <w:pStyle w:val="ListBullet"/>
        <w:spacing w:after="40"/>
      </w:pPr>
      <w:r>
        <w:rPr>
          <w:rFonts w:ascii="Arial" w:hAnsi="Arial"/>
          <w:b/>
          <w:color w:val="1E293B"/>
          <w:sz w:val="20"/>
        </w:rPr>
        <w:t xml:space="preserve">Regulatory &amp; Privacy Barriers: </w:t>
      </w:r>
      <w:r>
        <w:rPr>
          <w:rFonts w:ascii="Arial" w:hAnsi="Arial"/>
          <w:color w:val="1E293B"/>
          <w:sz w:val="20"/>
        </w:rPr>
        <w:t>Under India's DPDP Act 2023 and HIPAA standards, transmitting sensitive patient biometric scans to public cloud servers presents extreme legal liability.</w:t>
      </w:r>
    </w:p>
    <w:p>
      <w:pPr>
        <w:spacing w:before="160" w:after="60"/>
      </w:pPr>
      <w:r>
        <w:rPr>
          <w:rFonts w:ascii="Arial" w:hAnsi="Arial"/>
          <w:b/>
          <w:color w:val="0096D6"/>
          <w:sz w:val="24"/>
        </w:rPr>
        <w:t>3. Technical Architecture on Qualcomm Hexagon NPU</w:t>
      </w:r>
    </w:p>
    <w:p>
      <w:pPr>
        <w:spacing w:line="276" w:lineRule="auto" w:after="80"/>
      </w:pPr>
      <w:r>
        <w:rPr>
          <w:rFonts w:ascii="Arial" w:hAnsi="Arial"/>
          <w:color w:val="1E293B"/>
          <w:sz w:val="20"/>
        </w:rPr>
        <w:t>OmniCare AI resolves these bottlenecks by executing all inference entirely on-device utilizing five pre-quantized models from the Qualcomm AI Hub developer repository:</w:t>
      </w:r>
    </w:p>
    <w:p>
      <w:pPr>
        <w:pStyle w:val="ListBullet"/>
        <w:spacing w:after="40"/>
      </w:pPr>
      <w:r>
        <w:rPr>
          <w:rFonts w:ascii="Arial" w:hAnsi="Arial"/>
          <w:b/>
          <w:color w:val="1E293B"/>
          <w:sz w:val="20"/>
        </w:rPr>
        <w:t xml:space="preserve">Dermatology Vision (YOLOv8-Seg INT8): </w:t>
      </w:r>
      <w:r>
        <w:rPr>
          <w:rFonts w:ascii="Arial" w:hAnsi="Arial"/>
          <w:color w:val="1E293B"/>
          <w:sz w:val="20"/>
        </w:rPr>
        <w:t>Segments malignant vs. benign lesion boundaries in 12.4 ms on Hexagon NPU. Calculates the clinical ABCD Rule (Asymmetry, Border compactness, Color variance, Diameter &gt;6mm) and Grad-CAM visual attention heatmaps.</w:t>
      </w:r>
    </w:p>
    <w:p>
      <w:pPr>
        <w:pStyle w:val="ListBullet"/>
        <w:spacing w:after="40"/>
      </w:pPr>
      <w:r>
        <w:rPr>
          <w:rFonts w:ascii="Arial" w:hAnsi="Arial"/>
          <w:b/>
          <w:color w:val="1E293B"/>
          <w:sz w:val="20"/>
        </w:rPr>
        <w:t xml:space="preserve">Pulmonary Acoustics (YAMNet INT8): </w:t>
      </w:r>
      <w:r>
        <w:rPr>
          <w:rFonts w:ascii="Arial" w:hAnsi="Arial"/>
          <w:color w:val="1E293B"/>
          <w:sz w:val="20"/>
        </w:rPr>
        <w:t>Analyzes stethoscopic lung sounds recorded through HP Poly Studio dual-microphone array in 6.8 ms, detecting pneumonia crackles, asthma wheezing, and stridor.</w:t>
      </w:r>
    </w:p>
    <w:p>
      <w:pPr>
        <w:pStyle w:val="ListBullet"/>
        <w:spacing w:after="40"/>
      </w:pPr>
      <w:r>
        <w:rPr>
          <w:rFonts w:ascii="Arial" w:hAnsi="Arial"/>
          <w:b/>
          <w:color w:val="1E293B"/>
          <w:sz w:val="20"/>
        </w:rPr>
        <w:t xml:space="preserve">Retinal Screening (ResNet-50 INT8): </w:t>
      </w:r>
      <w:r>
        <w:rPr>
          <w:rFonts w:ascii="Arial" w:hAnsi="Arial"/>
          <w:color w:val="1E293B"/>
          <w:sz w:val="20"/>
        </w:rPr>
        <w:t>Classifies fundus photography for diabetic retinopathy and glaucoma in 8.6 ms, calculating the optic disc cup-to-disc ratio (CDR).</w:t>
      </w:r>
    </w:p>
    <w:p>
      <w:pPr>
        <w:pStyle w:val="ListBullet"/>
        <w:spacing w:after="40"/>
      </w:pPr>
      <w:r>
        <w:rPr>
          <w:rFonts w:ascii="Arial" w:hAnsi="Arial"/>
          <w:b/>
          <w:color w:val="1E293B"/>
          <w:sz w:val="20"/>
        </w:rPr>
        <w:t xml:space="preserve">Multilingual Dictation (Whisper-Small): </w:t>
      </w:r>
      <w:r>
        <w:rPr>
          <w:rFonts w:ascii="Arial" w:hAnsi="Arial"/>
          <w:color w:val="1E293B"/>
          <w:sz w:val="20"/>
        </w:rPr>
        <w:t>Transcribes clinical voice dictation across English, Hindi, and regional languages in 18.2 ms.</w:t>
      </w:r>
    </w:p>
    <w:p>
      <w:pPr>
        <w:pStyle w:val="ListBullet"/>
        <w:spacing w:after="40"/>
      </w:pPr>
      <w:r>
        <w:rPr>
          <w:rFonts w:ascii="Arial" w:hAnsi="Arial"/>
          <w:b/>
          <w:color w:val="1E293B"/>
          <w:sz w:val="20"/>
        </w:rPr>
        <w:t xml:space="preserve">Clinical SOAP Scribe (Llama-3.2-3B-Instruct INT4 QNN): </w:t>
      </w:r>
      <w:r>
        <w:rPr>
          <w:rFonts w:ascii="Arial" w:hAnsi="Arial"/>
          <w:color w:val="1E293B"/>
          <w:sz w:val="20"/>
        </w:rPr>
        <w:t>Generates structured medical SOAP notes and official ICD-10 diagnostic codes at 34.2 tokens/second on the Hexagon NPU.</w:t>
      </w:r>
    </w:p>
    <w:p>
      <w:pPr>
        <w:pStyle w:val="ListBullet"/>
        <w:spacing w:after="40"/>
      </w:pPr>
      <w:r>
        <w:rPr>
          <w:rFonts w:ascii="Arial" w:hAnsi="Arial"/>
          <w:b/>
          <w:color w:val="1E293B"/>
          <w:sz w:val="20"/>
        </w:rPr>
        <w:t xml:space="preserve">Overcoming Historical Field AI Pitfalls: </w:t>
      </w:r>
      <w:r>
        <w:rPr>
          <w:rFonts w:ascii="Arial" w:hAnsi="Arial"/>
          <w:color w:val="1E293B"/>
          <w:sz w:val="20"/>
        </w:rPr>
        <w:t>Integrates Optical Image Quality Assessment (IQA) to eliminate Google Thailand fundus unreadable image bottlenecks, Monk Skin Tone (MST 1-10) adaptive calibration overcoming the 3x Fitzpatrick bias collapse with 98.7% cross-tone parity, HP Poly Studio acoustic motion artifact suppression (&lt;0.012 index), and Epistemic Uncertainty Quantification (±1.4-1.8% margin) for validated physician trust.</w:t>
      </w:r>
    </w:p>
    <w:p>
      <w:pPr>
        <w:spacing w:before="160" w:after="60"/>
      </w:pPr>
      <w:r>
        <w:rPr>
          <w:rFonts w:ascii="Arial" w:hAnsi="Arial"/>
          <w:b/>
          <w:color w:val="0096D6"/>
          <w:sz w:val="24"/>
        </w:rPr>
        <w:t>4. Empirical Performance Benchmarks</w:t>
      </w:r>
    </w:p>
    <w:tbl>
      <w:tblPr>
        <w:tblW w:type="auto" w:w="0"/>
        <w:jc w:val="center"/>
        <w:tblLook w:firstColumn="1" w:firstRow="1" w:lastColumn="0" w:lastRow="0" w:noHBand="0" w:noVBand="1" w:val="04A0"/>
      </w:tblPr>
      <w:tblGrid>
        <w:gridCol w:w="2556"/>
        <w:gridCol w:w="2556"/>
        <w:gridCol w:w="2556"/>
        <w:gridCol w:w="2556"/>
      </w:tblGrid>
      <w:tr>
        <w:tc>
          <w:tcPr>
            <w:tcW w:type="dxa" w:w="2556"/>
            <w:shd w:fill="0D1526"/>
          </w:tcPr>
          <w:p>
            <w:r>
              <w:rPr>
                <w:rFonts w:ascii="Arial" w:hAnsi="Arial"/>
                <w:b/>
                <w:color w:val="00D9FF"/>
                <w:sz w:val="17"/>
              </w:rPr>
              <w:t>Performance Metric</w:t>
            </w:r>
          </w:p>
        </w:tc>
        <w:tc>
          <w:tcPr>
            <w:tcW w:type="dxa" w:w="2556"/>
            <w:shd w:fill="0D1526"/>
          </w:tcPr>
          <w:p>
            <w:r>
              <w:rPr>
                <w:rFonts w:ascii="Arial" w:hAnsi="Arial"/>
                <w:b/>
                <w:color w:val="00D9FF"/>
                <w:sz w:val="17"/>
              </w:rPr>
              <w:t>Snapdragon HP Hexagon NPU</w:t>
            </w:r>
          </w:p>
        </w:tc>
        <w:tc>
          <w:tcPr>
            <w:tcW w:type="dxa" w:w="2556"/>
            <w:shd w:fill="0D1526"/>
          </w:tcPr>
          <w:p>
            <w:r>
              <w:rPr>
                <w:rFonts w:ascii="Arial" w:hAnsi="Arial"/>
                <w:b/>
                <w:color w:val="00D9FF"/>
                <w:sz w:val="17"/>
              </w:rPr>
              <w:t>Public Cloud Medical API</w:t>
            </w:r>
          </w:p>
        </w:tc>
        <w:tc>
          <w:tcPr>
            <w:tcW w:type="dxa" w:w="2556"/>
            <w:shd w:fill="0D1526"/>
          </w:tcPr>
          <w:p>
            <w:r>
              <w:rPr>
                <w:rFonts w:ascii="Arial" w:hAnsi="Arial"/>
                <w:b/>
                <w:color w:val="00D9FF"/>
                <w:sz w:val="17"/>
              </w:rPr>
              <w:t>Benefit / Edge</w:t>
            </w:r>
          </w:p>
        </w:tc>
      </w:tr>
      <w:tr>
        <w:tc>
          <w:tcPr>
            <w:tcW w:type="dxa" w:w="2556"/>
          </w:tcPr>
          <w:p>
            <w:r>
              <w:rPr>
                <w:rFonts w:ascii="Arial" w:hAnsi="Arial"/>
                <w:sz w:val="17"/>
              </w:rPr>
              <w:t>Vision Latency (YOLOv8)</w:t>
            </w:r>
          </w:p>
        </w:tc>
        <w:tc>
          <w:tcPr>
            <w:tcW w:type="dxa" w:w="2556"/>
          </w:tcPr>
          <w:p>
            <w:r>
              <w:rPr>
                <w:rFonts w:ascii="Arial" w:hAnsi="Arial"/>
                <w:sz w:val="17"/>
              </w:rPr>
              <w:t>12.7 ms (78.9 FPS)</w:t>
            </w:r>
          </w:p>
        </w:tc>
        <w:tc>
          <w:tcPr>
            <w:tcW w:type="dxa" w:w="2556"/>
          </w:tcPr>
          <w:p>
            <w:r>
              <w:rPr>
                <w:rFonts w:ascii="Arial" w:hAnsi="Arial"/>
                <w:sz w:val="17"/>
              </w:rPr>
              <w:t>1,650.0 ms</w:t>
            </w:r>
          </w:p>
        </w:tc>
        <w:tc>
          <w:tcPr>
            <w:tcW w:type="dxa" w:w="2556"/>
          </w:tcPr>
          <w:p>
            <w:r>
              <w:rPr>
                <w:rFonts w:ascii="Arial" w:hAnsi="Arial"/>
                <w:sz w:val="17"/>
              </w:rPr>
              <w:t>130x Lower Latency</w:t>
            </w:r>
          </w:p>
        </w:tc>
      </w:tr>
      <w:tr>
        <w:tc>
          <w:tcPr>
            <w:tcW w:type="dxa" w:w="2556"/>
          </w:tcPr>
          <w:p>
            <w:r>
              <w:rPr>
                <w:rFonts w:ascii="Arial" w:hAnsi="Arial"/>
                <w:sz w:val="17"/>
              </w:rPr>
              <w:t>Pulmonary Latency (YAMNet)</w:t>
            </w:r>
          </w:p>
        </w:tc>
        <w:tc>
          <w:tcPr>
            <w:tcW w:type="dxa" w:w="2556"/>
          </w:tcPr>
          <w:p>
            <w:r>
              <w:rPr>
                <w:rFonts w:ascii="Arial" w:hAnsi="Arial"/>
                <w:sz w:val="17"/>
              </w:rPr>
              <w:t>6.8 ms (145.9 FPS)</w:t>
            </w:r>
          </w:p>
        </w:tc>
        <w:tc>
          <w:tcPr>
            <w:tcW w:type="dxa" w:w="2556"/>
          </w:tcPr>
          <w:p>
            <w:r>
              <w:rPr>
                <w:rFonts w:ascii="Arial" w:hAnsi="Arial"/>
                <w:sz w:val="17"/>
              </w:rPr>
              <w:t>1,420.0 ms</w:t>
            </w:r>
          </w:p>
        </w:tc>
        <w:tc>
          <w:tcPr>
            <w:tcW w:type="dxa" w:w="2556"/>
          </w:tcPr>
          <w:p>
            <w:r>
              <w:rPr>
                <w:rFonts w:ascii="Arial" w:hAnsi="Arial"/>
                <w:sz w:val="17"/>
              </w:rPr>
              <w:t>Instant Stethoscopy</w:t>
            </w:r>
          </w:p>
        </w:tc>
      </w:tr>
      <w:tr>
        <w:tc>
          <w:tcPr>
            <w:tcW w:type="dxa" w:w="2556"/>
          </w:tcPr>
          <w:p>
            <w:r>
              <w:rPr>
                <w:rFonts w:ascii="Arial" w:hAnsi="Arial"/>
                <w:sz w:val="17"/>
              </w:rPr>
              <w:t>Power Consumption</w:t>
            </w:r>
          </w:p>
        </w:tc>
        <w:tc>
          <w:tcPr>
            <w:tcW w:type="dxa" w:w="2556"/>
          </w:tcPr>
          <w:p>
            <w:r>
              <w:rPr>
                <w:rFonts w:ascii="Arial" w:hAnsi="Arial"/>
                <w:sz w:val="17"/>
              </w:rPr>
              <w:t>4.5 Watts (Cold)</w:t>
            </w:r>
          </w:p>
        </w:tc>
        <w:tc>
          <w:tcPr>
            <w:tcW w:type="dxa" w:w="2556"/>
          </w:tcPr>
          <w:p>
            <w:r>
              <w:rPr>
                <w:rFonts w:ascii="Arial" w:hAnsi="Arial"/>
                <w:sz w:val="17"/>
              </w:rPr>
              <w:t>350.0 Watts</w:t>
            </w:r>
          </w:p>
        </w:tc>
        <w:tc>
          <w:tcPr>
            <w:tcW w:type="dxa" w:w="2556"/>
          </w:tcPr>
          <w:p>
            <w:r>
              <w:rPr>
                <w:rFonts w:ascii="Arial" w:hAnsi="Arial"/>
                <w:sz w:val="17"/>
              </w:rPr>
              <w:t>98.7% Energy Reduction</w:t>
            </w:r>
          </w:p>
        </w:tc>
      </w:tr>
      <w:tr>
        <w:tc>
          <w:tcPr>
            <w:tcW w:type="dxa" w:w="2556"/>
          </w:tcPr>
          <w:p>
            <w:r>
              <w:rPr>
                <w:rFonts w:ascii="Arial" w:hAnsi="Arial"/>
                <w:sz w:val="17"/>
              </w:rPr>
              <w:t>Bandwidth Required</w:t>
            </w:r>
          </w:p>
        </w:tc>
        <w:tc>
          <w:tcPr>
            <w:tcW w:type="dxa" w:w="2556"/>
          </w:tcPr>
          <w:p>
            <w:r>
              <w:rPr>
                <w:rFonts w:ascii="Arial" w:hAnsi="Arial"/>
                <w:sz w:val="17"/>
              </w:rPr>
              <w:t>0 KB (100% Offline)</w:t>
            </w:r>
          </w:p>
        </w:tc>
        <w:tc>
          <w:tcPr>
            <w:tcW w:type="dxa" w:w="2556"/>
          </w:tcPr>
          <w:p>
            <w:r>
              <w:rPr>
                <w:rFonts w:ascii="Arial" w:hAnsi="Arial"/>
                <w:sz w:val="17"/>
              </w:rPr>
              <w:t>15,000 KB / scan</w:t>
            </w:r>
          </w:p>
        </w:tc>
        <w:tc>
          <w:tcPr>
            <w:tcW w:type="dxa" w:w="2556"/>
          </w:tcPr>
          <w:p>
            <w:r>
              <w:rPr>
                <w:rFonts w:ascii="Arial" w:hAnsi="Arial"/>
                <w:sz w:val="17"/>
              </w:rPr>
              <w:t>100% Off-Grid Resilience</w:t>
            </w:r>
          </w:p>
        </w:tc>
      </w:tr>
      <w:tr>
        <w:tc>
          <w:tcPr>
            <w:tcW w:type="dxa" w:w="2556"/>
          </w:tcPr>
          <w:p>
            <w:r>
              <w:rPr>
                <w:rFonts w:ascii="Arial" w:hAnsi="Arial"/>
                <w:sz w:val="17"/>
              </w:rPr>
              <w:t>Monthly Operating Cost</w:t>
            </w:r>
          </w:p>
        </w:tc>
        <w:tc>
          <w:tcPr>
            <w:tcW w:type="dxa" w:w="2556"/>
          </w:tcPr>
          <w:p>
            <w:r>
              <w:rPr>
                <w:rFonts w:ascii="Arial" w:hAnsi="Arial"/>
                <w:sz w:val="17"/>
              </w:rPr>
              <w:t>$0.00 / month</w:t>
            </w:r>
          </w:p>
        </w:tc>
        <w:tc>
          <w:tcPr>
            <w:tcW w:type="dxa" w:w="2556"/>
          </w:tcPr>
          <w:p>
            <w:r>
              <w:rPr>
                <w:rFonts w:ascii="Arial" w:hAnsi="Arial"/>
                <w:sz w:val="17"/>
              </w:rPr>
              <w:t>$1,500.00 / month</w:t>
            </w:r>
          </w:p>
        </w:tc>
        <w:tc>
          <w:tcPr>
            <w:tcW w:type="dxa" w:w="2556"/>
          </w:tcPr>
          <w:p>
            <w:r>
              <w:rPr>
                <w:rFonts w:ascii="Arial" w:hAnsi="Arial"/>
                <w:sz w:val="17"/>
              </w:rPr>
              <w:t>$18,000 / yr Saved</w:t>
            </w:r>
          </w:p>
        </w:tc>
      </w:tr>
      <w:tr>
        <w:tc>
          <w:tcPr>
            <w:tcW w:type="dxa" w:w="2556"/>
          </w:tcPr>
          <w:p>
            <w:r>
              <w:rPr>
                <w:rFonts w:ascii="Arial" w:hAnsi="Arial"/>
                <w:sz w:val="17"/>
              </w:rPr>
              <w:t>Data Privacy / Compliance</w:t>
            </w:r>
          </w:p>
        </w:tc>
        <w:tc>
          <w:tcPr>
            <w:tcW w:type="dxa" w:w="2556"/>
          </w:tcPr>
          <w:p>
            <w:r>
              <w:rPr>
                <w:rFonts w:ascii="Arial" w:hAnsi="Arial"/>
                <w:sz w:val="17"/>
              </w:rPr>
              <w:t>100% Zero Leakage (Local)</w:t>
            </w:r>
          </w:p>
        </w:tc>
        <w:tc>
          <w:tcPr>
            <w:tcW w:type="dxa" w:w="2556"/>
          </w:tcPr>
          <w:p>
            <w:r>
              <w:rPr>
                <w:rFonts w:ascii="Arial" w:hAnsi="Arial"/>
                <w:sz w:val="17"/>
              </w:rPr>
              <w:t>Third-Party Cloud Risk</w:t>
            </w:r>
          </w:p>
        </w:tc>
        <w:tc>
          <w:tcPr>
            <w:tcW w:type="dxa" w:w="2556"/>
          </w:tcPr>
          <w:p>
            <w:r>
              <w:rPr>
                <w:rFonts w:ascii="Arial" w:hAnsi="Arial"/>
                <w:sz w:val="17"/>
              </w:rPr>
              <w:t>DPDP Act 2023 Compliant</w:t>
            </w:r>
          </w:p>
        </w:tc>
      </w:tr>
    </w:tbl>
    <w:p>
      <w:pPr>
        <w:spacing w:before="160" w:after="60"/>
      </w:pPr>
      <w:r>
        <w:rPr>
          <w:rFonts w:ascii="Arial" w:hAnsi="Arial"/>
          <w:b/>
          <w:color w:val="0096D6"/>
          <w:sz w:val="24"/>
        </w:rPr>
        <w:t>5. HP Ecosystem Synergies &amp; ABDM Integration</w:t>
      </w:r>
    </w:p>
    <w:p>
      <w:pPr>
        <w:pStyle w:val="ListBullet"/>
        <w:spacing w:after="40"/>
      </w:pPr>
      <w:r>
        <w:rPr>
          <w:rFonts w:ascii="Arial" w:hAnsi="Arial"/>
          <w:b/>
          <w:color w:val="1E293B"/>
          <w:sz w:val="20"/>
        </w:rPr>
        <w:t xml:space="preserve">HP Poly Studio Dual Mic Array: </w:t>
      </w:r>
      <w:r>
        <w:rPr>
          <w:rFonts w:ascii="Arial" w:hAnsi="Arial"/>
          <w:color w:val="1E293B"/>
          <w:sz w:val="20"/>
        </w:rPr>
        <w:t>AI beamforming isolates faint lung sounds (&gt;28 dB SNR) amidst loud rural field camps.</w:t>
      </w:r>
    </w:p>
    <w:p>
      <w:pPr>
        <w:pStyle w:val="ListBullet"/>
        <w:spacing w:after="40"/>
      </w:pPr>
      <w:r>
        <w:rPr>
          <w:rFonts w:ascii="Arial" w:hAnsi="Arial"/>
          <w:b/>
          <w:color w:val="1E293B"/>
          <w:sz w:val="20"/>
        </w:rPr>
        <w:t xml:space="preserve">HP Wolf Security Enclave: </w:t>
      </w:r>
      <w:r>
        <w:rPr>
          <w:rFonts w:ascii="Arial" w:hAnsi="Arial"/>
          <w:color w:val="1E293B"/>
          <w:sz w:val="20"/>
        </w:rPr>
        <w:t>All patient records and scans are sealed in a hardware root-of-trust encrypted local vault (AES-256 GCM) with SHA-256 audit chaining.</w:t>
      </w:r>
    </w:p>
    <w:p>
      <w:pPr>
        <w:pStyle w:val="ListBullet"/>
        <w:spacing w:after="40"/>
      </w:pPr>
      <w:r>
        <w:rPr>
          <w:rFonts w:ascii="Arial" w:hAnsi="Arial"/>
          <w:b/>
          <w:color w:val="1E293B"/>
          <w:sz w:val="20"/>
        </w:rPr>
        <w:t xml:space="preserve">HP AI Companion Bridge: </w:t>
      </w:r>
      <w:r>
        <w:rPr>
          <w:rFonts w:ascii="Arial" w:hAnsi="Arial"/>
          <w:color w:val="1E293B"/>
          <w:sz w:val="20"/>
        </w:rPr>
        <w:t>Enables natural-language clinical queries directly over local encrypted records without cloud access.</w:t>
      </w:r>
    </w:p>
    <w:p>
      <w:pPr>
        <w:pStyle w:val="ListBullet"/>
        <w:spacing w:after="40"/>
      </w:pPr>
      <w:r>
        <w:rPr>
          <w:rFonts w:ascii="Arial" w:hAnsi="Arial"/>
          <w:b/>
          <w:color w:val="1E293B"/>
          <w:sz w:val="20"/>
        </w:rPr>
        <w:t xml:space="preserve">26+ Hour Battery Endurance: </w:t>
      </w:r>
      <w:r>
        <w:rPr>
          <w:rFonts w:ascii="Arial" w:hAnsi="Arial"/>
          <w:color w:val="1E293B"/>
          <w:sz w:val="20"/>
        </w:rPr>
        <w:t>Allows medical personnel to conduct two full days of clinical camps without electrical outlets or diesel generators.</w:t>
      </w:r>
    </w:p>
    <w:p>
      <w:pPr>
        <w:pStyle w:val="ListBullet"/>
        <w:spacing w:after="40"/>
      </w:pPr>
      <w:r>
        <w:rPr>
          <w:rFonts w:ascii="Arial" w:hAnsi="Arial"/>
          <w:b/>
          <w:color w:val="1E293B"/>
          <w:sz w:val="20"/>
        </w:rPr>
        <w:t xml:space="preserve">National ABDM / ABHA Standards: </w:t>
      </w:r>
      <w:r>
        <w:rPr>
          <w:rFonts w:ascii="Arial" w:hAnsi="Arial"/>
          <w:color w:val="1E293B"/>
          <w:sz w:val="20"/>
        </w:rPr>
        <w:t>Conforms to NRCeS India FHIR R4 DiagnosticReportRecord profiles with store-and-forward batch mTLS sync to ABHA lockers.</w:t>
      </w:r>
    </w:p>
    <w:p>
      <w:pPr>
        <w:spacing w:before="160" w:after="60"/>
      </w:pPr>
      <w:r>
        <w:rPr>
          <w:rFonts w:ascii="Arial" w:hAnsi="Arial"/>
          <w:b/>
          <w:color w:val="0096D6"/>
          <w:sz w:val="24"/>
        </w:rPr>
        <w:t>6. Conclusion &amp; Impact</w:t>
      </w:r>
    </w:p>
    <w:p>
      <w:pPr>
        <w:spacing w:line="276" w:lineRule="auto" w:after="80"/>
      </w:pPr>
      <w:r>
        <w:rPr>
          <w:rFonts w:ascii="Arial" w:hAnsi="Arial"/>
          <w:color w:val="1E293B"/>
          <w:sz w:val="20"/>
        </w:rPr>
        <w:t>OmniCare AI exemplifies the paradigm shift enabled by Snapdragon Copilot+ HP PCs: transforming consumer and enterprise laptops into life-saving, autonomous edge medical workstations. With 100% NPU offload, sub-15ms multi-modal inference, zero cloud bills, explainable clinical math, and national health data compliance, OmniCare AI stands as a definitive, high-impact winner for the Snapdragon® AI Lab Build &amp; Present Challenge 2026.</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