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AD" w:rsidRDefault="002728A9">
      <w:pPr>
        <w:pStyle w:val="Heading1"/>
      </w:pPr>
      <w:r>
        <w:t>Technology</w:t>
      </w:r>
    </w:p>
    <w:p w:rsidR="00AC4EAD" w:rsidRDefault="002728A9">
      <w:bookmarkStart w:id="0" w:name="technology"/>
      <w:bookmarkEnd w:id="0"/>
      <w:r>
        <w:t>Sharon only accesses the front-end of nttg.biz. She uses Chrome for this.</w:t>
      </w:r>
    </w:p>
    <w:p w:rsidR="00AC4EAD" w:rsidRDefault="002728A9">
      <w:r>
        <w:t>To make updates (archiving old charters, adding content, or reorganizing the information architecture), Sharon calls or emails Amy and instructs Amy to do it.</w:t>
      </w:r>
    </w:p>
    <w:p w:rsidR="00AC4EAD" w:rsidRDefault="002728A9">
      <w:pPr>
        <w:pStyle w:val="Heading1"/>
      </w:pPr>
      <w:r>
        <w:t>Navigating the Site</w:t>
      </w:r>
    </w:p>
    <w:p w:rsidR="00AC4EAD" w:rsidRDefault="002728A9">
      <w:bookmarkStart w:id="1" w:name="navigating-the-site"/>
      <w:bookmarkEnd w:id="1"/>
      <w:r>
        <w:t>The site has been organized to suit Sharon's preferences. Usually, this means that Sharon has a sense of where she needs to go and which folders she needs to drill down through in order to get to the information she is seeking. However, she often finds herself hunting for information where it isn't actually located.</w:t>
      </w:r>
    </w:p>
    <w:p w:rsidR="00AC4EAD" w:rsidRDefault="002728A9">
      <w:r>
        <w:t xml:space="preserve">To back out of </w:t>
      </w:r>
      <w:proofErr w:type="spellStart"/>
      <w:r>
        <w:t>deadends</w:t>
      </w:r>
      <w:proofErr w:type="spellEnd"/>
      <w:r>
        <w:t xml:space="preserve"> and make another pass at finding the info she's looking for, Sharon</w:t>
      </w:r>
    </w:p>
    <w:p w:rsidR="00AC4EAD" w:rsidRDefault="002728A9">
      <w:pPr>
        <w:pStyle w:val="Compact"/>
        <w:numPr>
          <w:ilvl w:val="0"/>
          <w:numId w:val="1"/>
        </w:numPr>
      </w:pPr>
      <w:r>
        <w:t>uses the breadcrumbs to step up a level or two,</w:t>
      </w:r>
    </w:p>
    <w:p w:rsidR="00AC4EAD" w:rsidRDefault="002728A9">
      <w:pPr>
        <w:pStyle w:val="Compact"/>
        <w:numPr>
          <w:ilvl w:val="0"/>
          <w:numId w:val="1"/>
        </w:numPr>
      </w:pPr>
      <w:r>
        <w:t>returns to the top-level categories in the main menu,</w:t>
      </w:r>
    </w:p>
    <w:p w:rsidR="00AC4EAD" w:rsidRDefault="002728A9">
      <w:pPr>
        <w:pStyle w:val="Compact"/>
        <w:numPr>
          <w:ilvl w:val="0"/>
          <w:numId w:val="1"/>
        </w:numPr>
      </w:pPr>
      <w:r>
        <w:t xml:space="preserve">drills through the folders in the </w:t>
      </w:r>
      <w:r>
        <w:rPr>
          <w:b/>
        </w:rPr>
        <w:t>Documents</w:t>
      </w:r>
      <w:r>
        <w:t xml:space="preserve"> section, or</w:t>
      </w:r>
    </w:p>
    <w:p w:rsidR="00AC4EAD" w:rsidRDefault="002728A9">
      <w:pPr>
        <w:pStyle w:val="Compact"/>
        <w:numPr>
          <w:ilvl w:val="0"/>
          <w:numId w:val="1"/>
        </w:numPr>
      </w:pPr>
      <w:proofErr w:type="gramStart"/>
      <w:r>
        <w:t>uses</w:t>
      </w:r>
      <w:proofErr w:type="gramEnd"/>
      <w:r>
        <w:t xml:space="preserve"> the embedded site search.</w:t>
      </w:r>
    </w:p>
    <w:p w:rsidR="00AC4EAD" w:rsidRDefault="002728A9">
      <w:r>
        <w:t>Often, the information Sharon is looking for is nested several levels deep.</w:t>
      </w:r>
    </w:p>
    <w:p w:rsidR="00AC4EAD" w:rsidRDefault="002728A9">
      <w:r>
        <w:t>Currently, search only allows queries that are 20 characters long or less. This length is less than adequate for searching for a phrase like "public policy requirements" (a 25 character query).</w:t>
      </w:r>
    </w:p>
    <w:p w:rsidR="00AC4EAD" w:rsidRDefault="002728A9">
      <w:r>
        <w:t xml:space="preserve">They try and keep content accessible in three ways: drilling down through the main menu, nested folders in the </w:t>
      </w:r>
      <w:r>
        <w:rPr>
          <w:b/>
        </w:rPr>
        <w:t>Documents</w:t>
      </w:r>
      <w:r>
        <w:t xml:space="preserve"> section, and site search. The most recent items are also available </w:t>
      </w:r>
      <w:proofErr w:type="spellStart"/>
      <w:r>
        <w:t>though</w:t>
      </w:r>
      <w:proofErr w:type="spellEnd"/>
      <w:r>
        <w:t xml:space="preserve"> the quick links in the </w:t>
      </w:r>
      <w:r>
        <w:rPr>
          <w:b/>
        </w:rPr>
        <w:t>Recently Posted Items</w:t>
      </w:r>
      <w:r>
        <w:t xml:space="preserve"> section.</w:t>
      </w:r>
    </w:p>
    <w:p w:rsidR="00AC4EAD" w:rsidRDefault="002728A9">
      <w:pPr>
        <w:pStyle w:val="Heading1"/>
      </w:pPr>
      <w:r>
        <w:t>Archiving Documents</w:t>
      </w:r>
    </w:p>
    <w:p w:rsidR="00AC4EAD" w:rsidRDefault="002728A9">
      <w:bookmarkStart w:id="2" w:name="archiving-documents"/>
      <w:bookmarkEnd w:id="2"/>
      <w:r>
        <w:t>Old documents are archived as Sharon requests them to be. There is not an established process for determining which documents are worthy of archiving.</w:t>
      </w:r>
    </w:p>
    <w:p w:rsidR="00AC4EAD" w:rsidRDefault="002728A9">
      <w:r>
        <w:t>To archive, Sharon will contact Amy. They'll then talk about how they want to handle a specific archiving task together.</w:t>
      </w:r>
    </w:p>
    <w:p w:rsidR="00AC4EAD" w:rsidRDefault="002728A9">
      <w:pPr>
        <w:pStyle w:val="Heading1"/>
      </w:pPr>
      <w:r>
        <w:lastRenderedPageBreak/>
        <w:t>Public Meetings and the Calendar</w:t>
      </w:r>
    </w:p>
    <w:p w:rsidR="00AC4EAD" w:rsidRDefault="002728A9">
      <w:bookmarkStart w:id="3" w:name="public-meetings-and-the-calendar"/>
      <w:bookmarkEnd w:id="3"/>
      <w:r>
        <w:t>The calendar is for listing public meeting notices for the stakeholder meetings and the steering committee meetings. Notice of upcoming meetings must be posted at least 7 days in advance.</w:t>
      </w:r>
    </w:p>
    <w:p w:rsidR="00AC4EAD" w:rsidRDefault="002728A9">
      <w:pPr>
        <w:pStyle w:val="Heading1"/>
      </w:pPr>
      <w:r>
        <w:t>Content</w:t>
      </w:r>
    </w:p>
    <w:p w:rsidR="00AC4EAD" w:rsidRDefault="002728A9">
      <w:bookmarkStart w:id="4" w:name="content"/>
      <w:bookmarkEnd w:id="4"/>
      <w:r>
        <w:t>The majority of the content on the website is downloadable PDFs. There is a small collection of downloadable DOCXs and XSLXs as well. It is important that the majority of the content is PDF so that it cannot be easily changed by end users and can be saved locally and printed out.</w:t>
      </w:r>
    </w:p>
    <w:p w:rsidR="00AC4EAD" w:rsidRDefault="002728A9">
      <w:pPr>
        <w:pStyle w:val="BlockQuote"/>
      </w:pPr>
      <w:r>
        <w:t>Downloading is important for maintaining open access.</w:t>
      </w:r>
    </w:p>
    <w:p w:rsidR="00AC4EAD" w:rsidRDefault="002728A9">
      <w:r>
        <w:t>The DOCX files are used for forms to be filled out. Filled out forms are emailed to Sharon/Amy.</w:t>
      </w:r>
    </w:p>
    <w:p w:rsidR="00AC4EAD" w:rsidRDefault="002728A9">
      <w:pPr>
        <w:pStyle w:val="Heading1"/>
      </w:pPr>
      <w:r>
        <w:t>Stated Desire for a Stable Platform</w:t>
      </w:r>
    </w:p>
    <w:p w:rsidR="00AC4EAD" w:rsidRDefault="002728A9">
      <w:bookmarkStart w:id="5" w:name="stated-desire-for-a-stable-platform"/>
      <w:bookmarkEnd w:id="5"/>
      <w:r>
        <w:t>Sharon recognizes that the platform that nttg.biz is built on is very old. She's concerned that things may break due to its age:</w:t>
      </w:r>
    </w:p>
    <w:p w:rsidR="00AC4EAD" w:rsidRDefault="002728A9">
      <w:pPr>
        <w:pStyle w:val="BlockQuote"/>
      </w:pPr>
      <w:r>
        <w:t>We built this in 2007 when NTTG was formed and we've done no maintenance to it sinc</w:t>
      </w:r>
      <w:bookmarkStart w:id="6" w:name="_GoBack"/>
      <w:bookmarkEnd w:id="6"/>
      <w:r>
        <w:t>e then.</w:t>
      </w:r>
    </w:p>
    <w:p w:rsidR="00AC4EAD" w:rsidRDefault="002728A9">
      <w:pPr>
        <w:pStyle w:val="BlockQuote"/>
      </w:pPr>
      <w:r>
        <w:t xml:space="preserve">How long can you use Joomla 1.0 when </w:t>
      </w:r>
      <w:proofErr w:type="spellStart"/>
      <w:proofErr w:type="gramStart"/>
      <w:r>
        <w:t>its</w:t>
      </w:r>
      <w:proofErr w:type="spellEnd"/>
      <w:proofErr w:type="gramEnd"/>
      <w:r>
        <w:t xml:space="preserve"> up to whatever it is now? [...] If one day it goes away and goes BOOM, we really can't be down for the period of time it would take to build a new website.</w:t>
      </w:r>
    </w:p>
    <w:p w:rsidR="00AC4EAD" w:rsidRDefault="002728A9">
      <w:r>
        <w:t xml:space="preserve">She also notes that in 2013 her hosting provider upgraded their servers, which temporarily brought nttg.biz down due to a </w:t>
      </w:r>
      <w:proofErr w:type="spellStart"/>
      <w:r>
        <w:t>compatability</w:t>
      </w:r>
      <w:proofErr w:type="spellEnd"/>
      <w:r>
        <w:t xml:space="preserve"> issue.</w:t>
      </w:r>
    </w:p>
    <w:p w:rsidR="00AC4EAD" w:rsidRDefault="002728A9">
      <w:r>
        <w:t>Additionally, the site has been hacked. Sharon would like to limit the possibility of this happening again.</w:t>
      </w:r>
    </w:p>
    <w:p w:rsidR="00AC4EAD" w:rsidRDefault="002728A9">
      <w:pPr>
        <w:pStyle w:val="Heading1"/>
      </w:pPr>
      <w:r>
        <w:t>Website Analytics</w:t>
      </w:r>
    </w:p>
    <w:p w:rsidR="00AC4EAD" w:rsidRDefault="002728A9">
      <w:bookmarkStart w:id="7" w:name="website-analytics"/>
      <w:bookmarkEnd w:id="7"/>
      <w:r>
        <w:t>For analytics, the only current example is the "Hits" marker on individual documents. It shows how many times people have accessed the document.</w:t>
      </w:r>
    </w:p>
    <w:p w:rsidR="00AC4EAD" w:rsidRDefault="002728A9">
      <w:pPr>
        <w:pStyle w:val="BlockQuote"/>
      </w:pPr>
      <w:r>
        <w:lastRenderedPageBreak/>
        <w:t>It just gives me some sense - particularly if we're putting something that's controversial out there - I like to go monitor that [to see if it has attracted public attention].</w:t>
      </w:r>
    </w:p>
    <w:p w:rsidR="00AC4EAD" w:rsidRDefault="002728A9">
      <w:pPr>
        <w:pStyle w:val="Heading1"/>
      </w:pPr>
      <w:r>
        <w:t>Budget</w:t>
      </w:r>
    </w:p>
    <w:p w:rsidR="00AC4EAD" w:rsidRDefault="002728A9">
      <w:bookmarkStart w:id="8" w:name="budget"/>
      <w:bookmarkEnd w:id="8"/>
      <w:r>
        <w:t>NTTG is estimating a budget up to about $20,000 for this project.</w:t>
      </w:r>
    </w:p>
    <w:sectPr w:rsidR="00AC4EAD">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D7DD7"/>
    <w:multiLevelType w:val="multilevel"/>
    <w:tmpl w:val="0704705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03E1A48"/>
    <w:multiLevelType w:val="multilevel"/>
    <w:tmpl w:val="FE54A3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2728A9"/>
    <w:rsid w:val="0091002A"/>
    <w:rsid w:val="00AC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80" w:after="180"/>
    </w:pPr>
    <w:rPr>
      <w:rFonts w:ascii="Cambria" w:eastAsia="Arial Unicode MS" w:hAnsi="Cambria" w:cs="Cambria"/>
      <w:sz w:val="24"/>
      <w:szCs w:val="24"/>
    </w:rPr>
  </w:style>
  <w:style w:type="paragraph" w:styleId="Heading1">
    <w:name w:val="heading 1"/>
    <w:basedOn w:val="Normal"/>
    <w:pPr>
      <w:keepNext/>
      <w:keepLines/>
      <w:spacing w:before="480" w:after="0"/>
      <w:outlineLvl w:val="0"/>
    </w:pPr>
    <w:rPr>
      <w:rFonts w:ascii="Calibri" w:hAnsi="Calibri"/>
      <w:b/>
      <w:bCs/>
      <w:color w:val="345A8A"/>
      <w:sz w:val="36"/>
      <w:szCs w:val="36"/>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pPr>
      <w:keepNext/>
      <w:keepLines/>
      <w:spacing w:before="480" w:after="240"/>
      <w:jc w:val="center"/>
    </w:pPr>
    <w:rPr>
      <w:rFonts w:ascii="Calibri" w:hAnsi="Calibri"/>
      <w:b/>
      <w:bCs/>
      <w:color w:val="345A8A"/>
      <w:sz w:val="36"/>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pPr>
      <w:spacing w:before="0" w:after="120"/>
    </w:pPr>
    <w:rPr>
      <w:i/>
    </w:rPr>
  </w:style>
  <w:style w:type="paragraph" w:customStyle="1" w:styleId="SourceCode">
    <w:name w:val="Source Cod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Jacobson</dc:creator>
  <cp:lastModifiedBy>Jeff Jacobson</cp:lastModifiedBy>
  <cp:revision>3</cp:revision>
  <dcterms:created xsi:type="dcterms:W3CDTF">2014-07-31T23:12:00Z</dcterms:created>
  <dcterms:modified xsi:type="dcterms:W3CDTF">2014-07-31T23:16:00Z</dcterms:modified>
</cp:coreProperties>
</file>