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Aution Board Restructure and Business Development Framework</w:t>
      </w:r>
    </w:p>
    <w:p>
      <w:pPr>
        <w:spacing w:after="240"/>
      </w:pPr>
      <w:r>
        <w:rPr>
          <w:color w:val="1D718A"/>
          <w:sz w:val="24"/>
        </w:rPr>
        <w:t>Proposed six member leadership framework for internal discussion</w:t>
      </w:r>
    </w:p>
    <w:tbl>
      <w:tblPr>
        <w:tblW w:type="auto" w:w="0"/>
        <w:jc w:val="left"/>
        <w:tblLayout w:type="fixed"/>
        <w:tblLook w:firstColumn="1" w:firstRow="1" w:lastColumn="0" w:lastRow="0" w:noHBand="0" w:noVBand="1" w:val="04A0"/>
      </w:tblPr>
      <w:tblGrid>
        <w:gridCol w:w="1613"/>
        <w:gridCol w:w="8208"/>
      </w:tblGrid>
      <w:t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DDF2F5"/>
          </w:tcPr>
          <w:p>
            <w:pPr>
              <w:spacing w:after="0"/>
            </w:pPr>
            <w:r/>
            <w:r>
              <w:rPr>
                <w:rFonts w:ascii="Aptos" w:hAnsi="Aptos"/>
                <w:b/>
                <w:color w:val="17324D"/>
                <w:sz w:val="16"/>
              </w:rPr>
              <w:t>Status</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Discussion draft for review and board approval</w:t>
            </w:r>
          </w:p>
        </w:tc>
      </w:tr>
      <w:t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DDF2F5"/>
          </w:tcPr>
          <w:p>
            <w:pPr>
              <w:spacing w:after="0"/>
            </w:pPr>
            <w:r/>
            <w:r>
              <w:rPr>
                <w:rFonts w:ascii="Aptos" w:hAnsi="Aptos"/>
                <w:b/>
                <w:color w:val="17324D"/>
                <w:sz w:val="16"/>
              </w:rPr>
              <w:t>Prepared for</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Aution founders and current leadership</w:t>
            </w:r>
          </w:p>
        </w:tc>
      </w:tr>
    </w:tbl>
    <w:p/>
    <w:tbl>
      <w:tblPr>
        <w:tblW w:type="auto" w:w="0"/>
        <w:tblLook w:firstColumn="1" w:firstRow="1" w:lastColumn="0" w:lastRow="0" w:noHBand="0" w:noVBand="1" w:val="04A0"/>
      </w:tblPr>
      <w:tblGrid>
        <w:gridCol w:w="9835"/>
      </w:tblGrid>
      <w:tr>
        <w:tc>
          <w:tcPr>
            <w:tcW w:type="dxa" w:w="9835"/>
            <w:shd w:fill="F3F7FA"/>
          </w:tcPr>
          <w:p>
            <w:pPr>
              <w:spacing w:after="0"/>
            </w:pPr>
            <w:r/>
            <w:r>
              <w:rPr>
                <w:color w:val="17324D"/>
                <w:sz w:val="18"/>
              </w:rPr>
              <w:t>This framework proposes six active leadership workstreams, adds clear ownership for business development, and focuses external funding discussions on Aution Mobile. It is a planning document. It does not itself appoint or remove directors, change share ownership, amend the MOI, or approve an investment offer.</w:t>
            </w:r>
          </w:p>
        </w:tc>
      </w:tr>
    </w:tbl>
    <w:p>
      <w:pPr>
        <w:spacing w:after="20"/>
      </w:pPr>
    </w:p>
    <w:p>
      <w:r>
        <w:t>Aution should organize parent-company oversight around strategy, governance and finance, while Aution Mobile owns the transport service plan. The six-person team should have named responsibilities, written decision limits and a regular reporting rhythm. Business development should bring in transport contracts and qualified funding conversations for Aution Mobile, with each proposal checked against actual vehicle, driver, permit, insurance and cash capacity.</w:t>
      </w:r>
    </w:p>
    <w:p>
      <w:pPr>
        <w:pStyle w:val="Heading1"/>
      </w:pPr>
      <w:r>
        <w:t>Purpose and decisions for the team</w:t>
      </w:r>
    </w:p>
    <w:p>
      <w:r>
        <w:t>Use this framework to agree on the six people, confirm who holds each role, and decide which people will be formally appointed as directors. The team should authorize a focused partner and investor process for Aution Mobile, define who may represent Aution, and approve the first 90 days of work.</w:t>
      </w:r>
    </w:p>
    <w:p>
      <w:pPr>
        <w:pStyle w:val="ListBullet"/>
        <w:spacing w:after="60"/>
      </w:pPr>
      <w:r>
        <w:t>Confirm the six active team members and assign the proposed responsibilities below.</w:t>
      </w:r>
    </w:p>
    <w:p>
      <w:pPr>
        <w:pStyle w:val="ListBullet"/>
        <w:spacing w:after="60"/>
      </w:pPr>
      <w:r>
        <w:t>Confirm the transition of the current CEO and CFO. Their functions must remain assigned even if the current officeholders leave.</w:t>
      </w:r>
    </w:p>
    <w:p>
      <w:pPr>
        <w:pStyle w:val="ListBullet"/>
        <w:spacing w:after="60"/>
      </w:pPr>
      <w:r>
        <w:t>Confirm whether Aution Mobile is separately registered or is an operating name or division of Aution (Pty) Ltd.</w:t>
      </w:r>
    </w:p>
    <w:p>
      <w:pPr>
        <w:pStyle w:val="ListBullet"/>
        <w:spacing w:after="60"/>
      </w:pPr>
      <w:r>
        <w:t>Approve who may approach partners, share approved information, negotiate indicative terms and sign binding agreements.</w:t>
      </w:r>
    </w:p>
    <w:p>
      <w:pPr>
        <w:pStyle w:val="ListBullet"/>
        <w:spacing w:after="60"/>
      </w:pPr>
      <w:r>
        <w:t>Approve the work plan and reporting measures in this document.</w:t>
      </w:r>
    </w:p>
    <w:p>
      <w:pPr>
        <w:pStyle w:val="Heading1"/>
      </w:pPr>
      <w:r>
        <w:t>Current working position</w:t>
      </w:r>
    </w:p>
    <w:p>
      <w:r>
        <w:t>Aution (Pty) Ltd is the parent holding company. The current direction is to rebuild the active team to six people. Aution Mobile is the transport venture for student chauffeur trips and worker transport or human logistics. Aution also has media and influence ventures, including The Collection Podcast, and other businesses in development. The current funding and business-development focus is Aution Mobile only.</w:t>
      </w:r>
    </w:p>
    <w:p>
      <w:r>
        <w:t>Earlier supplied records describe an eight-person shareholding and board structure, while the Code of Conduct names four formally appointed directors. Those records do not establish the current legal position. Check the CIPC profile, MOI, securities register, minutes and signed agreements before stating who owns shares, who is a director, or who can approve a transaction.</w:t>
      </w:r>
    </w:p>
    <w:tbl>
      <w:tblPr>
        <w:tblW w:type="auto" w:w="0"/>
        <w:tblLook w:firstColumn="1" w:firstRow="1" w:lastColumn="0" w:lastRow="0" w:noHBand="0" w:noVBand="1" w:val="04A0"/>
      </w:tblPr>
      <w:tblGrid>
        <w:gridCol w:w="9835"/>
      </w:tblGrid>
      <w:tr>
        <w:tc>
          <w:tcPr>
            <w:tcW w:type="dxa" w:w="9835"/>
            <w:shd w:fill="F3F7FA"/>
          </w:tcPr>
          <w:p>
            <w:pPr>
              <w:spacing w:after="0"/>
            </w:pPr>
            <w:r/>
            <w:r>
              <w:rPr>
                <w:color w:val="17324D"/>
                <w:sz w:val="18"/>
              </w:rPr>
              <w:t>For this document, “six members” means six active people in the proposed team. It does not automatically mean six shareholders or six legally appointed directors. The final structure must match company records and valid resolutions.</w:t>
            </w:r>
          </w:p>
        </w:tc>
      </w:tr>
    </w:tbl>
    <w:p>
      <w:pPr>
        <w:spacing w:after="20"/>
      </w:pPr>
    </w:p>
    <w:p>
      <w:pPr>
        <w:pStyle w:val="Heading1"/>
      </w:pPr>
      <w:r>
        <w:t>Proposed six person leadership structure</w:t>
      </w:r>
    </w:p>
    <w:p>
      <w:r>
        <w:t>These roles cover parent-company oversight and Aution Mobile execution. They are proposed work assignments, not completed appointments. Add names, start dates, reporting lines and director appointments after the team agrees.</w:t>
      </w:r>
    </w:p>
    <w:tbl>
      <w:tblPr>
        <w:tblW w:type="auto" w:w="0"/>
        <w:jc w:val="center"/>
        <w:tblLayout w:type="fixed"/>
        <w:tblLook w:firstColumn="1" w:firstRow="1" w:lastColumn="0" w:lastRow="0" w:noHBand="0" w:noVBand="1" w:val="04A0"/>
      </w:tblPr>
      <w:tblGrid>
        <w:gridCol w:w="605"/>
        <w:gridCol w:w="1944"/>
        <w:gridCol w:w="5112"/>
        <w:gridCol w:w="2131"/>
      </w:tblGrid>
      <w:tr>
        <w:trPr>
          <w:tblHeader w:val="true"/>
        </w:trPr>
        <w:tc>
          <w:tcPr>
            <w:tcW w:type="dxa" w:w="2459"/>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5"/>
              </w:rPr>
              <w:t>Seat</w:t>
            </w:r>
          </w:p>
        </w:tc>
        <w:tc>
          <w:tcPr>
            <w:tcW w:type="dxa" w:w="2459"/>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5"/>
              </w:rPr>
              <w:t>Proposed role</w:t>
            </w:r>
          </w:p>
        </w:tc>
        <w:tc>
          <w:tcPr>
            <w:tcW w:type="dxa" w:w="2459"/>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5"/>
              </w:rPr>
              <w:t>Main responsibility</w:t>
            </w:r>
          </w:p>
        </w:tc>
        <w:tc>
          <w:tcPr>
            <w:tcW w:type="dxa" w:w="2459"/>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5"/>
              </w:rPr>
              <w:t>Evidence of completion</w:t>
            </w:r>
          </w:p>
        </w:tc>
      </w:tr>
      <w:tr>
        <w:tc>
          <w:tcPr>
            <w:tcW w:type="dxa" w:w="605"/>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1</w:t>
            </w:r>
          </w:p>
        </w:tc>
        <w:tc>
          <w:tcPr>
            <w:tcW w:type="dxa" w:w="194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Vision Leader and Proposed Chair</w:t>
            </w:r>
          </w:p>
        </w:tc>
        <w:tc>
          <w:tcPr>
            <w:tcW w:type="dxa" w:w="511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Set long-term direction, chair board discussions if formally appointed, keep Aution Mobile aligned with group strategy and ensure decisions are recorded. The chair does not approve spending or sign contracts alone unless written authority permits it.</w:t>
            </w:r>
          </w:p>
        </w:tc>
        <w:tc>
          <w:tcPr>
            <w:tcW w:type="dxa" w:w="2131"/>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Approved strategy, agendas, decisions and follow-up actions.</w:t>
            </w:r>
          </w:p>
        </w:tc>
      </w:tr>
      <w:tr>
        <w:tc>
          <w:tcPr>
            <w:tcW w:type="dxa" w:w="605"/>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2</w:t>
            </w:r>
          </w:p>
        </w:tc>
        <w:tc>
          <w:tcPr>
            <w:tcW w:type="dxa" w:w="194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Executive Lead</w:t>
            </w:r>
          </w:p>
        </w:tc>
        <w:tc>
          <w:tcPr>
            <w:tcW w:type="dxa" w:w="511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Coordinate delivery of board-approved plans across Aution. Lead the operating team, resolve dependencies and report missed commitments. This function carries the CEO execution work whether or not the title changes.</w:t>
            </w:r>
          </w:p>
        </w:tc>
        <w:tc>
          <w:tcPr>
            <w:tcW w:type="dxa" w:w="2131"/>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Monthly delivery review and escalation of decisions outside delegated limits.</w:t>
            </w:r>
          </w:p>
        </w:tc>
      </w:tr>
      <w:tr>
        <w:tc>
          <w:tcPr>
            <w:tcW w:type="dxa" w:w="605"/>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3</w:t>
            </w:r>
          </w:p>
        </w:tc>
        <w:tc>
          <w:tcPr>
            <w:tcW w:type="dxa" w:w="194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Finance and Controls Lead</w:t>
            </w:r>
          </w:p>
        </w:tc>
        <w:tc>
          <w:tcPr>
            <w:tcW w:type="dxa" w:w="511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Prepare budgets, monthly income and expense reporting, trip-level cost analysis, cash forecasts and funding-use schedules. Reconcile bank activity and maintain supporting documents.</w:t>
            </w:r>
          </w:p>
        </w:tc>
        <w:tc>
          <w:tcPr>
            <w:tcW w:type="dxa" w:w="2131"/>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Monthly management accounts, cash forecast and budget variance report.</w:t>
            </w:r>
          </w:p>
        </w:tc>
      </w:tr>
      <w:tr>
        <w:tc>
          <w:tcPr>
            <w:tcW w:type="dxa" w:w="605"/>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4</w:t>
            </w:r>
          </w:p>
        </w:tc>
        <w:tc>
          <w:tcPr>
            <w:tcW w:type="dxa" w:w="194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Aution Mobile Operations and Safety Lead</w:t>
            </w:r>
          </w:p>
        </w:tc>
        <w:tc>
          <w:tcPr>
            <w:tcW w:type="dxa" w:w="511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Confirm available vehicle and driver capacity, build route and shift plans, maintain trip logs, manage incidents and confirm operational readiness before a proposal is made.</w:t>
            </w:r>
          </w:p>
        </w:tc>
        <w:tc>
          <w:tcPr>
            <w:tcW w:type="dxa" w:w="2131"/>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Capacity plan, service records, incident log and readiness checklist.</w:t>
            </w:r>
          </w:p>
        </w:tc>
      </w:tr>
      <w:tr>
        <w:tc>
          <w:tcPr>
            <w:tcW w:type="dxa" w:w="605"/>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5</w:t>
            </w:r>
          </w:p>
        </w:tc>
        <w:tc>
          <w:tcPr>
            <w:tcW w:type="dxa" w:w="194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Business Development and Partnerships Lead</w:t>
            </w:r>
          </w:p>
        </w:tc>
        <w:tc>
          <w:tcPr>
            <w:tcW w:type="dxa" w:w="511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Build the target list, qualify transport and logistics opportunities, arrange discovery meetings, draft proposals with operations and finance, maintain the pipeline and hand over signed work for delivery.</w:t>
            </w:r>
          </w:p>
        </w:tc>
        <w:tc>
          <w:tcPr>
            <w:tcW w:type="dxa" w:w="2131"/>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5"/>
              </w:rPr>
              <w:t>Current opportunity pipeline, meeting notes, proposals, pilot outcomes and renewals.</w:t>
            </w:r>
          </w:p>
        </w:tc>
      </w:tr>
      <w:tr>
        <w:tc>
          <w:tcPr>
            <w:tcW w:type="dxa" w:w="605"/>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6</w:t>
            </w:r>
          </w:p>
        </w:tc>
        <w:tc>
          <w:tcPr>
            <w:tcW w:type="dxa" w:w="194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Governance and Company Records Lead</w:t>
            </w:r>
          </w:p>
        </w:tc>
        <w:tc>
          <w:tcPr>
            <w:tcW w:type="dxa" w:w="511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Maintain minutes, resolutions, director and shareholder records, contracts, compliance calendar and CIPC filing evidence. Track approvals and ensure external materials match approved company information.</w:t>
            </w:r>
          </w:p>
        </w:tc>
        <w:tc>
          <w:tcPr>
            <w:tcW w:type="dxa" w:w="2131"/>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5"/>
              </w:rPr>
              <w:t>Current records folder, decision register and filing calendar.</w:t>
            </w:r>
          </w:p>
        </w:tc>
      </w:tr>
    </w:tbl>
    <w:p>
      <w:pPr>
        <w:spacing w:after="20"/>
      </w:pPr>
    </w:p>
    <w:p>
      <w:r>
        <w:t>Brand, website and podcast work should remain a shared service to the parent company. The Business Development Lead can coordinate partner-facing materials with the person responsible for brand and media, while keeping Aution Mobile’s transport offer separate from unrelated ventures.</w:t>
      </w:r>
    </w:p>
    <w:p>
      <w:pPr>
        <w:pStyle w:val="Heading1"/>
      </w:pPr>
      <w:r>
        <w:t>Board oversight and operating authority</w:t>
      </w:r>
    </w:p>
    <w:p>
      <w:r>
        <w:t>The board sets direction and controls material commitments. The executive team delivers the approved plan. The MOI and a board-approved delegation schedule should determine formal authority, voting, quorum and signing rules.</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Decision area</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Working rule</w:t>
            </w:r>
          </w:p>
        </w:tc>
      </w:tr>
      <w:tr>
        <w:tc>
          <w:tcPr>
            <w:tcW w:type="dxa" w:w="223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Board approval</w:t>
            </w:r>
          </w:p>
        </w:tc>
        <w:tc>
          <w:tcPr>
            <w:tcW w:type="dxa" w:w="756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Annual budget; new borrowing or equity; changes to share rights; vehicle purchases or leases above an agreed threshold; new subsidiaries; material contracts; related-party transactions; strategy changes; and director or senior officer appointments and removals.</w:t>
            </w:r>
          </w:p>
        </w:tc>
      </w:tr>
      <w:tr>
        <w:tc>
          <w:tcPr>
            <w:tcW w:type="dxa" w:w="223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Executive Lead</w:t>
            </w:r>
          </w:p>
        </w:tc>
        <w:tc>
          <w:tcPr>
            <w:tcW w:type="dxa" w:w="756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Routine delivery within the approved budget and written delegations. Escalate commitments outside budget, contract term, risk limit or signing authority.</w:t>
            </w:r>
          </w:p>
        </w:tc>
      </w:tr>
      <w:tr>
        <w:tc>
          <w:tcPr>
            <w:tcW w:type="dxa" w:w="223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Finance and Controls Lead</w:t>
            </w:r>
          </w:p>
        </w:tc>
        <w:tc>
          <w:tcPr>
            <w:tcW w:type="dxa" w:w="756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Prepare and reconcile financial information, verify budget and payment evidence, and report variances. Do not approve a payment alone when dual authorization is required.</w:t>
            </w:r>
          </w:p>
        </w:tc>
      </w:tr>
      <w:tr>
        <w:tc>
          <w:tcPr>
            <w:tcW w:type="dxa" w:w="223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Operations and Safety Lead</w:t>
            </w:r>
          </w:p>
        </w:tc>
        <w:tc>
          <w:tcPr>
            <w:tcW w:type="dxa" w:w="756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Confirm every proposed route and service is deliverable with available vehicle, qualified driver, insurance and permissions. Pause a proposal if readiness is not established.</w:t>
            </w:r>
          </w:p>
        </w:tc>
      </w:tr>
      <w:tr>
        <w:tc>
          <w:tcPr>
            <w:tcW w:type="dxa" w:w="223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Business Development Lead</w:t>
            </w:r>
          </w:p>
        </w:tc>
        <w:tc>
          <w:tcPr>
            <w:tcW w:type="dxa" w:w="756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Introduce Aution and collect partner requirements. Share only approved materials. Do not promise capacity, pricing, exclusivity, returns or contract terms without written authority.</w:t>
            </w:r>
          </w:p>
        </w:tc>
      </w:tr>
      <w:tr>
        <w:tc>
          <w:tcPr>
            <w:tcW w:type="dxa" w:w="223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Governance and Company Records Lead</w:t>
            </w:r>
          </w:p>
        </w:tc>
        <w:tc>
          <w:tcPr>
            <w:tcW w:type="dxa" w:w="756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Record decisions and approvals, maintain signed contracts and registers, and coordinate required filings after a valid company decision.</w:t>
            </w:r>
          </w:p>
        </w:tc>
      </w:tr>
    </w:tbl>
    <w:p>
      <w:pPr>
        <w:spacing w:after="20"/>
      </w:pPr>
    </w:p>
    <w:p>
      <w:r>
        <w:t>Before outreach begins, set written limits for quotations, discounts, deposits, payment commitments, information sharing and contract signature. The two-person payment rule and rand thresholds should be set in a signed resolution, not assumed.</w:t>
      </w:r>
    </w:p>
    <w:p>
      <w:pPr>
        <w:pStyle w:val="Heading1"/>
      </w:pPr>
      <w:r>
        <w:t>Business development process for Aution Mobile</w:t>
      </w:r>
    </w:p>
    <w:p>
      <w:pPr>
        <w:pStyle w:val="ListNumber"/>
        <w:spacing w:after="60"/>
      </w:pPr>
      <w:r>
        <w:t>Select a target segment such as employers with shift workers, universities and residences, schools where permitted, or transport operators seeking a local partner.</w:t>
      </w:r>
    </w:p>
    <w:p>
      <w:pPr>
        <w:pStyle w:val="ListNumber"/>
        <w:spacing w:after="60"/>
      </w:pPr>
      <w:r>
        <w:t>Qualify the need: passenger numbers, pickup locations, schedule, service days, passenger requirements, procurement process and budget range.</w:t>
      </w:r>
    </w:p>
    <w:p>
      <w:pPr>
        <w:pStyle w:val="ListNumber"/>
        <w:spacing w:after="60"/>
      </w:pPr>
      <w:r>
        <w:t>Ask Operations and Finance to confirm capacity, permits, insurance, driver availability, route cost, price and cash impact before promising service.</w:t>
      </w:r>
    </w:p>
    <w:p>
      <w:pPr>
        <w:pStyle w:val="ListNumber"/>
        <w:spacing w:after="60"/>
      </w:pPr>
      <w:r>
        <w:t>Prepare a short proposal describing scope, roles, pricing basis, service measures, payment terms, safety process, data handling and an agreed pilot period.</w:t>
      </w:r>
    </w:p>
    <w:p>
      <w:pPr>
        <w:pStyle w:val="ListNumber"/>
        <w:spacing w:after="60"/>
      </w:pPr>
      <w:r>
        <w:t>Obtain required approval and a signed contract before service begins. Record what Aution supplies and what the partner supplies.</w:t>
      </w:r>
    </w:p>
    <w:p>
      <w:pPr>
        <w:pStyle w:val="ListNumber"/>
        <w:spacing w:after="60"/>
      </w:pPr>
      <w:r>
        <w:t>Review delivery and economics after the pilot. Continue, adjust or stop based on service results, margin and partner feedback.</w:t>
      </w:r>
    </w:p>
    <w:p>
      <w:pPr>
        <w:pStyle w:val="Heading1"/>
      </w:pPr>
      <w:r>
        <w:t>Monthly scorecard</w:t>
      </w:r>
    </w:p>
    <w:tbl>
      <w:tblPr>
        <w:tblW w:type="auto" w:w="0"/>
        <w:jc w:val="center"/>
        <w:tblLayout w:type="fixed"/>
        <w:tblLook w:firstColumn="1" w:firstRow="1" w:lastColumn="0" w:lastRow="0" w:noHBand="0" w:noVBand="1" w:val="04A0"/>
      </w:tblPr>
      <w:tblGrid>
        <w:gridCol w:w="1872"/>
        <w:gridCol w:w="6264"/>
        <w:gridCol w:w="1656"/>
      </w:tblGrid>
      <w:tr>
        <w:trPr>
          <w:tblHeader w:val="true"/>
        </w:trPr>
        <w:tc>
          <w:tcPr>
            <w:tcW w:type="dxa" w:w="3278"/>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Area</w:t>
            </w:r>
          </w:p>
        </w:tc>
        <w:tc>
          <w:tcPr>
            <w:tcW w:type="dxa" w:w="3278"/>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Measures to report</w:t>
            </w:r>
          </w:p>
        </w:tc>
        <w:tc>
          <w:tcPr>
            <w:tcW w:type="dxa" w:w="3278"/>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Owner</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Business development</w:t>
            </w:r>
          </w:p>
        </w:tc>
        <w:tc>
          <w:tcPr>
            <w:tcW w:type="dxa" w:w="62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Qualified opportunities; meetings completed; proposals sent; pilots agreed; signed contract value; reasons opportunities were lost.</w:t>
            </w:r>
          </w:p>
        </w:tc>
        <w:tc>
          <w:tcPr>
            <w:tcW w:type="dxa" w:w="1656"/>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Business Development Lead</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Operations</w:t>
            </w:r>
          </w:p>
        </w:tc>
        <w:tc>
          <w:tcPr>
            <w:tcW w:type="dxa" w:w="626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Trips completed; on-time performance; passengers served; vehicle utilization; cancellations; incidents; cost per kilometre or route.</w:t>
            </w:r>
          </w:p>
        </w:tc>
        <w:tc>
          <w:tcPr>
            <w:tcW w:type="dxa" w:w="1656"/>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Operations and Safety Lead</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Finance</w:t>
            </w:r>
          </w:p>
        </w:tc>
        <w:tc>
          <w:tcPr>
            <w:tcW w:type="dxa" w:w="62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Revenue received; direct trip costs; operating expenses; contribution by contract; cash available; budget variance; use of restricted funding.</w:t>
            </w:r>
          </w:p>
        </w:tc>
        <w:tc>
          <w:tcPr>
            <w:tcW w:type="dxa" w:w="1656"/>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Finance and Controls Lead</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Governance</w:t>
            </w:r>
          </w:p>
        </w:tc>
        <w:tc>
          <w:tcPr>
            <w:tcW w:type="dxa" w:w="626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Approvals recorded; contracts filed; open compliance actions; CIPC and beneficial ownership status; overdue decisions.</w:t>
            </w:r>
          </w:p>
        </w:tc>
        <w:tc>
          <w:tcPr>
            <w:tcW w:type="dxa" w:w="1656"/>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Governance and Company Records Lead</w:t>
            </w:r>
          </w:p>
        </w:tc>
      </w:tr>
    </w:tbl>
    <w:p>
      <w:pPr>
        <w:spacing w:after="20"/>
      </w:pPr>
    </w:p>
    <w:p>
      <w:r>
        <w:t>Set numeric targets only after checking actual operating capacity and baseline results. The supplied history records one early month of financial activity and one vehicle; it does not establish current results or available capacity.</w:t>
      </w:r>
    </w:p>
    <w:p>
      <w:pPr>
        <w:pStyle w:val="Heading1"/>
      </w:pPr>
      <w:r>
        <w:t>First 90 days</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Period</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Actions</w:t>
            </w:r>
          </w:p>
        </w:tc>
      </w:tr>
      <w:tr>
        <w:tc>
          <w:tcPr>
            <w:tcW w:type="dxa" w:w="172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Days 1 to 15</w:t>
            </w:r>
          </w:p>
        </w:tc>
        <w:tc>
          <w:tcPr>
            <w:tcW w:type="dxa" w:w="80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Confirm six people and role owners. Reconcile shareholders, directors, share register, MOI, bank signatories and subsidiary or division status. Record the CEO and CFO transition and assign continuing duties. Approve meeting, spending and signing rules.</w:t>
            </w:r>
          </w:p>
        </w:tc>
      </w:tr>
      <w:tr>
        <w:tc>
          <w:tcPr>
            <w:tcW w:type="dxa" w:w="1728"/>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Days 16 to 30</w:t>
            </w:r>
          </w:p>
        </w:tc>
        <w:tc>
          <w:tcPr>
            <w:tcW w:type="dxa" w:w="806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Build a verified Aution Mobile baseline: service scope, active vehicle and driver capacity, permissions, insurance, pricing assumptions, monthly accounts, customer records and open risks. Approve a one-page external description.</w:t>
            </w:r>
          </w:p>
        </w:tc>
      </w:tr>
      <w:tr>
        <w:tc>
          <w:tcPr>
            <w:tcW w:type="dxa" w:w="172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Days 31 to 60</w:t>
            </w:r>
          </w:p>
        </w:tc>
        <w:tc>
          <w:tcPr>
            <w:tcW w:type="dxa" w:w="80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Build a focused list of suitable employers, campuses, residences and transport partners. Hold discovery conversations. Prepare route-specific offers only where Operations and Finance confirm feasibility.</w:t>
            </w:r>
          </w:p>
        </w:tc>
      </w:tr>
      <w:tr>
        <w:tc>
          <w:tcPr>
            <w:tcW w:type="dxa" w:w="1728"/>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Days 61 to 90</w:t>
            </w:r>
          </w:p>
        </w:tc>
        <w:tc>
          <w:tcPr>
            <w:tcW w:type="dxa" w:w="806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Review pipeline, proposals, cash and readiness. Approve a pilot or funding process only when the receiving legal entity, use of funds, authority and terms are documented. Record the next-quarter plan.</w:t>
            </w:r>
          </w:p>
        </w:tc>
      </w:tr>
    </w:tbl>
    <w:p>
      <w:pPr>
        <w:spacing w:after="20"/>
      </w:pPr>
    </w:p>
    <w:p>
      <w:pPr>
        <w:pStyle w:val="Heading1"/>
      </w:pPr>
      <w:r>
        <w:t>Investor and partner readiness</w:t>
      </w:r>
    </w:p>
    <w:p>
      <w:r>
        <w:t>Aution is not seeking a general investment into the holding company under the current direction. Any funding discussion should be for Aution Mobile and tracked against an approved transport plan. Before accepting or offering investment, identify the legal recipient. If Aution Mobile is an operating division or trading name, state whether Aution (Pty) Ltd receives the money and how use of funds will be tracked. If it is a separate company, confirm its registration, ownership and signing authority.</w:t>
      </w:r>
    </w:p>
    <w:p>
      <w:pPr>
        <w:pStyle w:val="ListBullet"/>
        <w:spacing w:after="60"/>
      </w:pPr>
      <w:r>
        <w:t>Current company registration, MOI, director register, securities register, ownership table and signed shareholder arrangements.</w:t>
      </w:r>
    </w:p>
    <w:p>
      <w:pPr>
        <w:pStyle w:val="ListBullet"/>
        <w:spacing w:after="60"/>
      </w:pPr>
      <w:r>
        <w:t>Latest CIPC annual return and beneficial ownership filing evidence, current tax status and financial statements or management accounts.</w:t>
      </w:r>
    </w:p>
    <w:p>
      <w:pPr>
        <w:pStyle w:val="ListBullet"/>
        <w:spacing w:after="60"/>
      </w:pPr>
      <w:r>
        <w:t>Monthly revenue and cost history, route-level economics, cash forecast, debts, vehicle ownership or finance documents and bank reconciliations.</w:t>
      </w:r>
    </w:p>
    <w:p>
      <w:pPr>
        <w:pStyle w:val="ListBullet"/>
        <w:spacing w:after="60"/>
      </w:pPr>
      <w:r>
        <w:t>Transport permissions, insurance, driver documentation, safety process, operating capacity and client contracts or letters of intent.</w:t>
      </w:r>
    </w:p>
    <w:p>
      <w:pPr>
        <w:pStyle w:val="ListBullet"/>
        <w:spacing w:after="60"/>
      </w:pPr>
      <w:r>
        <w:t>A specific funding amount, recipient, instrument, use-of-funds schedule, milestones, proposed investor rights and board approval.</w:t>
      </w:r>
    </w:p>
    <w:p>
      <w:pPr>
        <w:pStyle w:val="Heading1"/>
      </w:pPr>
      <w:r>
        <w:t>Actions requiring formal approval</w:t>
      </w:r>
    </w:p>
    <w:p>
      <w:pPr>
        <w:pStyle w:val="ListBullet"/>
        <w:spacing w:after="60"/>
      </w:pPr>
      <w:r>
        <w:t>Approve the six active team roles and the names assigned to each role.</w:t>
      </w:r>
    </w:p>
    <w:p>
      <w:pPr>
        <w:pStyle w:val="ListBullet"/>
        <w:spacing w:after="60"/>
      </w:pPr>
      <w:r>
        <w:t>Confirm whether departing officers are resigning, being replaced or being removed, and whether they are also directors or shareholders. Treat director status and share ownership as separate records.</w:t>
      </w:r>
    </w:p>
    <w:p>
      <w:pPr>
        <w:pStyle w:val="ListBullet"/>
        <w:spacing w:after="60"/>
      </w:pPr>
      <w:r>
        <w:t>Review the MOI, shareholder agreement and company procedures before changing directors, issuing or transferring shares, or giving an investor rights.</w:t>
      </w:r>
    </w:p>
    <w:p>
      <w:pPr>
        <w:pStyle w:val="ListBullet"/>
        <w:spacing w:after="60"/>
      </w:pPr>
      <w:r>
        <w:t>Approve the Aution Mobile outreach brief, authorized spokespersons, information-sharing limits and any investor approach.</w:t>
      </w:r>
    </w:p>
    <w:p>
      <w:pPr>
        <w:pStyle w:val="ListBullet"/>
        <w:spacing w:after="60"/>
      </w:pPr>
      <w:r>
        <w:t>Record decisions in minutes or written resolutions and make required CIPC and beneficial ownership updates after valid changes.</w:t>
      </w:r>
    </w:p>
    <w:p>
      <w:pPr>
        <w:pStyle w:val="Heading1"/>
      </w:pPr>
      <w:r>
        <w:t>Reference points</w:t>
      </w:r>
    </w:p>
    <w:p>
      <w:r>
        <w:t>The supplied company history and Code of Conduct are background only. Their board and role details conflict and do not establish current appointments. The Companies Act, CIPC requirements, company MOI and valid resolutions control formal company action. A private company may not offer securities to the public. Before a share offer, check shareholder pre-emptive rights and the MOI with a South African company-law professional.</w:t>
      </w:r>
    </w:p>
    <w:p>
      <w:r>
        <w:rPr>
          <w:color w:val="526574"/>
          <w:sz w:val="16"/>
        </w:rPr>
        <w:t>Official references: Companies Act 71 of 2008, sections 36 to 40, https://www.justice.gov.za/legislation/acts/2008-071.pdf ; CIPC private company overview, https://www.cipc.co.za/?page_id=1148 ; CIPC beneficial ownership and annual return guidance, https://www.cipc.co.za/?p=20728 .</w:t>
      </w:r>
    </w:p>
    <w:sectPr w:rsidR="00FC693F" w:rsidRPr="0006063C" w:rsidSect="00034616">
      <w:headerReference w:type="default" r:id="rId9"/>
      <w:footerReference w:type="default" r:id="rId10"/>
      <w:pgSz w:w="11909" w:h="16834"/>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4"/>
        <w:sz w:val="16"/>
      </w:rPr>
      <w:t xml:space="preserve">Working draft  •  18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D718A"/>
        <w:sz w:val="16"/>
      </w:rPr>
      <w:t>AUTION  |  INTERNAL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71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