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Aution Mobile Transport and Logistics Partnership Brief</w:t>
      </w:r>
    </w:p>
    <w:p>
      <w:pPr>
        <w:spacing w:after="240"/>
      </w:pPr>
      <w:r>
        <w:rPr>
          <w:color w:val="1D718A"/>
          <w:sz w:val="24"/>
        </w:rPr>
        <w:t>Business overview for transport partners and Aution Mobile funders</w:t>
      </w:r>
    </w:p>
    <w:tbl>
      <w:tblPr>
        <w:tblW w:type="auto" w:w="0"/>
        <w:jc w:val="left"/>
        <w:tblLayout w:type="fixed"/>
        <w:tblLook w:firstColumn="1" w:firstRow="1" w:lastColumn="0" w:lastRow="0" w:noHBand="0" w:noVBand="1" w:val="04A0"/>
      </w:tblPr>
      <w:tblGrid>
        <w:gridCol w:w="1613"/>
        <w:gridCol w:w="8208"/>
      </w:tblGrid>
      <w:t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DDF2F5"/>
          </w:tcPr>
          <w:p>
            <w:pPr>
              <w:spacing w:after="0"/>
            </w:pPr>
            <w:r/>
            <w:r>
              <w:rPr>
                <w:rFonts w:ascii="Aptos" w:hAnsi="Aptos"/>
                <w:b/>
                <w:color w:val="17324D"/>
                <w:sz w:val="16"/>
              </w:rPr>
              <w:t>Status</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Discussion draft for review before external circulation</w:t>
            </w:r>
          </w:p>
        </w:tc>
      </w:tr>
      <w:t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DDF2F5"/>
          </w:tcPr>
          <w:p>
            <w:pPr>
              <w:spacing w:after="0"/>
            </w:pPr>
            <w:r/>
            <w:r>
              <w:rPr>
                <w:rFonts w:ascii="Aptos" w:hAnsi="Aptos"/>
                <w:b/>
                <w:color w:val="17324D"/>
                <w:sz w:val="16"/>
              </w:rPr>
              <w:t>Prepared for</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Transport, logistics and workforce mobility partners</w:t>
            </w:r>
          </w:p>
        </w:tc>
      </w:tr>
    </w:tbl>
    <w:p/>
    <w:tbl>
      <w:tblPr>
        <w:tblW w:type="auto" w:w="0"/>
        <w:tblLook w:firstColumn="1" w:firstRow="1" w:lastColumn="0" w:lastRow="0" w:noHBand="0" w:noVBand="1" w:val="04A0"/>
      </w:tblPr>
      <w:tblGrid>
        <w:gridCol w:w="9835"/>
      </w:tblGrid>
      <w:tr>
        <w:tc>
          <w:tcPr>
            <w:tcW w:type="dxa" w:w="9835"/>
            <w:shd w:fill="F3F7FA"/>
          </w:tcPr>
          <w:p>
            <w:pPr>
              <w:spacing w:after="0"/>
            </w:pPr>
            <w:r/>
            <w:r>
              <w:rPr>
                <w:color w:val="17324D"/>
                <w:sz w:val="18"/>
              </w:rPr>
              <w:t>Aution Mobile is the sole focus of this transport and logistics funding brief. Aution (Pty) Ltd remains the parent company. This brief is for discussion and is not an offer of shares, a loan offer, a service commitment or a contract.</w:t>
            </w:r>
          </w:p>
        </w:tc>
      </w:tr>
    </w:tbl>
    <w:p>
      <w:pPr>
        <w:spacing w:after="20"/>
      </w:pPr>
    </w:p>
    <w:p>
      <w:r>
        <w:t>We are developing Aution Mobile as a prearranged chauffeur and human-logistics service for students and workers. We want to work with employers, education communities, residences and established transport operators on clearly scoped mobility needs. Any funding discussion under this brief is for Aution Mobile operations only, subject to board approval and confirmation of the legal entity that will receive the funds.</w:t>
      </w:r>
    </w:p>
    <w:p>
      <w:pPr>
        <w:pStyle w:val="Heading1"/>
      </w:pPr>
      <w:r>
        <w:t>Company structure</w:t>
      </w:r>
    </w:p>
    <w:p>
      <w:r>
        <w:t>Aution (Pty) Ltd is the holding company. Aution Mobile is the transport venture within the group. The parent also supports media and influence ventures, including The Collection Podcast, and has other businesses in development. Those ventures are outside the funding request described here.</w:t>
      </w:r>
    </w:p>
    <w:tbl>
      <w:tblPr>
        <w:tblW w:type="auto" w:w="0"/>
        <w:tblLook w:firstColumn="1" w:firstRow="1" w:lastColumn="0" w:lastRow="0" w:noHBand="0" w:noVBand="1" w:val="04A0"/>
      </w:tblPr>
      <w:tblGrid>
        <w:gridCol w:w="9835"/>
      </w:tblGrid>
      <w:tr>
        <w:tc>
          <w:tcPr>
            <w:tcW w:type="dxa" w:w="9835"/>
            <w:shd w:fill="F3F7FA"/>
          </w:tcPr>
          <w:p>
            <w:pPr>
              <w:spacing w:after="0"/>
            </w:pPr>
            <w:r/>
            <w:r>
              <w:rPr>
                <w:color w:val="17324D"/>
                <w:sz w:val="18"/>
              </w:rPr>
              <w:t>Before signing a contract or receiving investment, we will state whether Aution Mobile is a separately registered subsidiary or a trading division of Aution (Pty) Ltd. The legal contracting and funding recipient must be named in the final agreement.</w:t>
            </w:r>
          </w:p>
        </w:tc>
      </w:tr>
    </w:tbl>
    <w:p>
      <w:pPr>
        <w:spacing w:after="20"/>
      </w:pPr>
    </w:p>
    <w:p>
      <w:pPr>
        <w:pStyle w:val="Heading1"/>
      </w:pPr>
      <w:r>
        <w:t>What Aution Mobile does</w:t>
      </w:r>
    </w:p>
    <w:p>
      <w:r>
        <w:t>Aution Mobile is being positioned to coordinate prearranged student chauffeur trips and scheduled transport for workers. For a partner, service can be shaped around agreed pickup points, shift times, passenger volume, trip frequency and service windows. We will define the route and commercial terms after confirming vehicle and driver availability, operating permissions, insurance and cost.</w:t>
      </w:r>
    </w:p>
    <w:p>
      <w:r>
        <w:t>Our initial focus is contracted and scheduled transport. We will describe a service as available only after confirming that the relevant vehicle, driver, route, insurance, permits and operating process are in place. We will not represent the service as a live, open e-hailing marketplace unless that model has been separately approved and meets applicable requirements.</w:t>
      </w:r>
    </w:p>
    <w:p>
      <w:pPr>
        <w:pStyle w:val="Heading1"/>
      </w:pPr>
      <w:r>
        <w:t>Partnership opportunities</w:t>
      </w:r>
    </w:p>
    <w:tbl>
      <w:tblPr>
        <w:tblW w:type="auto" w:w="0"/>
        <w:jc w:val="center"/>
        <w:tblLayout w:type="fixed"/>
        <w:tblLook w:firstColumn="1" w:firstRow="1" w:lastColumn="0" w:lastRow="0" w:noHBand="0" w:noVBand="1" w:val="04A0"/>
      </w:tblPr>
      <w:tblGrid>
        <w:gridCol w:w="2477"/>
        <w:gridCol w:w="7315"/>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Opportunity</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How we would scope it</w:t>
            </w:r>
          </w:p>
        </w:tc>
      </w:tr>
      <w:tr>
        <w:tc>
          <w:tcPr>
            <w:tcW w:type="dxa" w:w="2477"/>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Student mobility</w:t>
            </w:r>
          </w:p>
        </w:tc>
        <w:tc>
          <w:tcPr>
            <w:tcW w:type="dxa" w:w="7315"/>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Planned trips between campuses, residences and agreed local destinations. The parties define schedules, passenger limits, booking process and payment method.</w:t>
            </w:r>
          </w:p>
        </w:tc>
      </w:tr>
      <w:tr>
        <w:tc>
          <w:tcPr>
            <w:tcW w:type="dxa" w:w="2477"/>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Worker and shift transport</w:t>
            </w:r>
          </w:p>
        </w:tc>
        <w:tc>
          <w:tcPr>
            <w:tcW w:type="dxa" w:w="7315"/>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Regular or occasional employee routes designed around shift times, pickup zones and agreed headcount.</w:t>
            </w:r>
          </w:p>
        </w:tc>
      </w:tr>
      <w:tr>
        <w:tc>
          <w:tcPr>
            <w:tcW w:type="dxa" w:w="2477"/>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Transport operator or fleet partnership</w:t>
            </w:r>
          </w:p>
        </w:tc>
        <w:tc>
          <w:tcPr>
            <w:tcW w:type="dxa" w:w="7315"/>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A route pilot or subcontracting arrangement where an established operator contributes vehicles, drivers or permissions, with service, safety, insurance and payment duties documented.</w:t>
            </w:r>
          </w:p>
        </w:tc>
      </w:tr>
      <w:tr>
        <w:tc>
          <w:tcPr>
            <w:tcW w:type="dxa" w:w="2477"/>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Aution Mobile funding</w:t>
            </w:r>
          </w:p>
        </w:tc>
        <w:tc>
          <w:tcPr>
            <w:tcW w:type="dxa" w:w="7315"/>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Funding directed to an approved transport use such as vehicle capacity, compliance, safety, driver operations, booking and working capital. The recipient and instrument must be confirmed before terms are discussed.</w:t>
            </w:r>
          </w:p>
        </w:tc>
      </w:tr>
    </w:tbl>
    <w:p>
      <w:pPr>
        <w:spacing w:after="20"/>
      </w:pPr>
    </w:p>
    <w:p>
      <w:pPr>
        <w:pStyle w:val="Heading1"/>
      </w:pPr>
      <w:r>
        <w:t>How we would work together</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Stage</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Working method</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Discover</w:t>
            </w:r>
          </w:p>
        </w:tc>
        <w:tc>
          <w:tcPr>
            <w:tcW w:type="dxa" w:w="792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The partner explains the transport need, routes, service times, passenger counts, procurement requirements and current pain points.</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Check readiness</w:t>
            </w:r>
          </w:p>
        </w:tc>
        <w:tc>
          <w:tcPr>
            <w:tcW w:type="dxa" w:w="792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Aution Mobile checks route economics, passenger and vehicle capacity, driver availability, required permissions, insurance, safety process and operating contacts.</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Agree the service</w:t>
            </w:r>
          </w:p>
        </w:tc>
        <w:tc>
          <w:tcPr>
            <w:tcW w:type="dxa" w:w="792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Both sides document routes, trip volumes, price basis, service hours, booking cutoffs, invoicing, cancellations, passenger data handling and escalation contacts.</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Run an approved pilot</w:t>
            </w:r>
          </w:p>
        </w:tc>
        <w:tc>
          <w:tcPr>
            <w:tcW w:type="dxa" w:w="792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The parties agree in writing on a pilot period and success measures. Service begins only after contract and operational checks are complete.</w:t>
            </w:r>
          </w:p>
        </w:tc>
      </w:tr>
      <w:tr>
        <w:tc>
          <w:tcPr>
            <w:tcW w:type="dxa" w:w="187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Review</w:t>
            </w:r>
          </w:p>
        </w:tc>
        <w:tc>
          <w:tcPr>
            <w:tcW w:type="dxa" w:w="792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Review completed trips, on-time performance, incidents, cost, customer feedback and invoice settlement before renewing or changing scope.</w:t>
            </w:r>
          </w:p>
        </w:tc>
      </w:tr>
    </w:tbl>
    <w:p>
      <w:pPr>
        <w:spacing w:after="20"/>
      </w:pPr>
    </w:p>
    <w:p>
      <w:pPr>
        <w:pStyle w:val="Heading1"/>
      </w:pPr>
      <w:r>
        <w:t>Responsibilities to agree in each proposal</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Party</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Responsibilities to document</w:t>
            </w:r>
          </w:p>
        </w:tc>
      </w:tr>
      <w:tr>
        <w:tc>
          <w:tcPr>
            <w:tcW w:type="dxa" w:w="216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Aution Mobile</w:t>
            </w:r>
          </w:p>
        </w:tc>
        <w:tc>
          <w:tcPr>
            <w:tcW w:type="dxa" w:w="763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Provide a named coordination contact; confirm capacity before accepting work; manage the agreed booking and trip-record process; report issues promptly; invoice to written terms.</w:t>
            </w:r>
          </w:p>
        </w:tc>
      </w:tr>
      <w:tr>
        <w:tc>
          <w:tcPr>
            <w:tcW w:type="dxa" w:w="216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Transport or fleet partner</w:t>
            </w:r>
          </w:p>
        </w:tc>
        <w:tc>
          <w:tcPr>
            <w:tcW w:type="dxa" w:w="763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State which vehicles, drivers, permits and insurance it supplies; maintain its legal and safety obligations; provide agreed trip data; report incidents promptly.</w:t>
            </w:r>
          </w:p>
        </w:tc>
      </w:tr>
      <w:tr>
        <w:tc>
          <w:tcPr>
            <w:tcW w:type="dxa" w:w="216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Employer, campus or client</w:t>
            </w:r>
          </w:p>
        </w:tc>
        <w:tc>
          <w:tcPr>
            <w:tcW w:type="dxa" w:w="763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Provide accurate passenger volumes, route requirements, schedule changes, passenger communication and a procurement or payment contact.</w:t>
            </w:r>
          </w:p>
        </w:tc>
      </w:tr>
      <w:tr>
        <w:tc>
          <w:tcPr>
            <w:tcW w:type="dxa" w:w="216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All parties</w:t>
            </w:r>
          </w:p>
        </w:tc>
        <w:tc>
          <w:tcPr>
            <w:tcW w:type="dxa" w:w="763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Agree data access and retention, emergency escalation, service recovery, complaints, payment disputes, cancellation rules and who may change the scope.</w:t>
            </w:r>
          </w:p>
        </w:tc>
      </w:tr>
    </w:tbl>
    <w:p>
      <w:pPr>
        <w:spacing w:after="20"/>
      </w:pPr>
    </w:p>
    <w:p>
      <w:pPr>
        <w:pStyle w:val="Heading1"/>
      </w:pPr>
      <w:r>
        <w:t>Business model and commercial information</w:t>
      </w:r>
    </w:p>
    <w:p>
      <w:r>
        <w:t>Possible revenue structures include per-trip charges, scheduled route fees, group transport pricing or monthly transport contracts. We will price a proposal after reviewing distance, service hours, passenger volume, vehicle capacity, return or waiting time, fuel and driver costs, partner responsibilities and applicable permit or insurance costs.</w:t>
      </w:r>
    </w:p>
    <w:tbl>
      <w:tblPr>
        <w:tblW w:type="auto" w:w="0"/>
        <w:jc w:val="center"/>
        <w:tblLayout w:type="fixed"/>
        <w:tblLook w:firstColumn="1" w:firstRow="1" w:lastColumn="0" w:lastRow="0" w:noHBand="0" w:noVBand="1" w:val="04A0"/>
      </w:tblPr>
      <w:tblGrid>
        <w:gridCol w:w="3240"/>
        <w:gridCol w:w="6552"/>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Item</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Information to confirm before sharing</w:t>
            </w:r>
          </w:p>
        </w:tc>
      </w:tr>
      <w:tr>
        <w:tc>
          <w:tcPr>
            <w:tcW w:type="dxa" w:w="324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Service area</w:t>
            </w:r>
          </w:p>
        </w:tc>
        <w:tc>
          <w:tcPr>
            <w:tcW w:type="dxa" w:w="655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[Confirm operating areas and route limits]</w:t>
            </w:r>
          </w:p>
        </w:tc>
      </w:tr>
      <w:tr>
        <w:tc>
          <w:tcPr>
            <w:tcW w:type="dxa" w:w="324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Available vehicle and passenger capacity</w:t>
            </w:r>
          </w:p>
        </w:tc>
        <w:tc>
          <w:tcPr>
            <w:tcW w:type="dxa" w:w="655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[Confirm current fleet, title or finance status, availability and usable seats]</w:t>
            </w:r>
          </w:p>
        </w:tc>
      </w:tr>
      <w:tr>
        <w:tc>
          <w:tcPr>
            <w:tcW w:type="dxa" w:w="324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Available driver capacity</w:t>
            </w:r>
          </w:p>
        </w:tc>
        <w:tc>
          <w:tcPr>
            <w:tcW w:type="dxa" w:w="655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[Confirm number, credentials, working hours and backup coverage]</w:t>
            </w:r>
          </w:p>
        </w:tc>
      </w:tr>
      <w:tr>
        <w:tc>
          <w:tcPr>
            <w:tcW w:type="dxa" w:w="324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Current service volumes and revenue</w:t>
            </w:r>
          </w:p>
        </w:tc>
        <w:tc>
          <w:tcPr>
            <w:tcW w:type="dxa" w:w="655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[Insert verified monthly trips, passengers, customer count and period]</w:t>
            </w:r>
          </w:p>
        </w:tc>
      </w:tr>
      <w:tr>
        <w:tc>
          <w:tcPr>
            <w:tcW w:type="dxa" w:w="324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Proposed pilot route and price</w:t>
            </w:r>
          </w:p>
        </w:tc>
        <w:tc>
          <w:tcPr>
            <w:tcW w:type="dxa" w:w="655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[Complete jointly after route costing and operations review]</w:t>
            </w:r>
          </w:p>
        </w:tc>
      </w:tr>
      <w:tr>
        <w:tc>
          <w:tcPr>
            <w:tcW w:type="dxa" w:w="3240"/>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Funding sought for Aution Mobile</w:t>
            </w:r>
          </w:p>
        </w:tc>
        <w:tc>
          <w:tcPr>
            <w:tcW w:type="dxa" w:w="6552"/>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R[amount to be approved] for [specific uses] over [period]</w:t>
            </w:r>
          </w:p>
        </w:tc>
      </w:tr>
      <w:tr>
        <w:tc>
          <w:tcPr>
            <w:tcW w:type="dxa" w:w="3240"/>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Funding recipient and instrument</w:t>
            </w:r>
          </w:p>
        </w:tc>
        <w:tc>
          <w:tcPr>
            <w:tcW w:type="dxa" w:w="6552"/>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[Name legal entity; specify equity, loan or other lawyer-reviewed instrument]</w:t>
            </w:r>
          </w:p>
        </w:tc>
      </w:tr>
    </w:tbl>
    <w:p>
      <w:pPr>
        <w:spacing w:after="20"/>
      </w:pPr>
    </w:p>
    <w:p>
      <w:pPr>
        <w:pStyle w:val="Heading1"/>
      </w:pPr>
      <w:r>
        <w:t>Funding use and milestones</w:t>
      </w:r>
    </w:p>
    <w:p>
      <w:r>
        <w:t>If Aution Mobile seeks funding, we will present a detailed budget and connect each amount to an operating milestone. The categories below are planning options, not commitments or an approved budget.</w:t>
      </w:r>
    </w:p>
    <w:tbl>
      <w:tblPr>
        <w:tblW w:type="auto" w:w="0"/>
        <w:jc w:val="center"/>
        <w:tblLayout w:type="fixed"/>
        <w:tblLook w:firstColumn="1" w:firstRow="1" w:lastColumn="0" w:lastRow="0" w:noHBand="0" w:noVBand="1" w:val="04A0"/>
      </w:tblPr>
      <w:tblGrid>
        <w:gridCol w:w="2664"/>
        <w:gridCol w:w="7128"/>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Use of funds</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Evidence and milestone to show</w:t>
            </w:r>
          </w:p>
        </w:tc>
      </w:tr>
      <w:tr>
        <w:tc>
          <w:tcPr>
            <w:tcW w:type="dxa" w:w="266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Vehicle capacity</w:t>
            </w:r>
          </w:p>
        </w:tc>
        <w:tc>
          <w:tcPr>
            <w:tcW w:type="dxa" w:w="7128"/>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Purchase, lease or partner access; confirm total cost, title, financing and expected service capacity.</w:t>
            </w:r>
          </w:p>
        </w:tc>
      </w:tr>
      <w:tr>
        <w:tc>
          <w:tcPr>
            <w:tcW w:type="dxa" w:w="266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Operating permissions and insurance</w:t>
            </w:r>
          </w:p>
        </w:tc>
        <w:tc>
          <w:tcPr>
            <w:tcW w:type="dxa" w:w="7128"/>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Confirm approvals and insurance required for the exact service and operating model.</w:t>
            </w:r>
          </w:p>
        </w:tc>
      </w:tr>
      <w:tr>
        <w:tc>
          <w:tcPr>
            <w:tcW w:type="dxa" w:w="266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Driver and service operations</w:t>
            </w:r>
          </w:p>
        </w:tc>
        <w:tc>
          <w:tcPr>
            <w:tcW w:type="dxa" w:w="7128"/>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Recruitment or partner costs, onboarding, safety training, scheduling and incident readiness.</w:t>
            </w:r>
          </w:p>
        </w:tc>
      </w:tr>
      <w:tr>
        <w:tc>
          <w:tcPr>
            <w:tcW w:type="dxa" w:w="266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Booking and service records</w:t>
            </w:r>
          </w:p>
        </w:tc>
        <w:tc>
          <w:tcPr>
            <w:tcW w:type="dxa" w:w="7128"/>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 booking and dispatch process, trip records, privacy controls and partner reporting appropriate to the pilot.</w:t>
            </w:r>
          </w:p>
        </w:tc>
      </w:tr>
      <w:tr>
        <w:tc>
          <w:tcPr>
            <w:tcW w:type="dxa" w:w="266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Working capital</w:t>
            </w:r>
          </w:p>
        </w:tc>
        <w:tc>
          <w:tcPr>
            <w:tcW w:type="dxa" w:w="7128"/>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Fuel, maintenance and approved operating costs until contracted customer receipts are collected.</w:t>
            </w:r>
          </w:p>
        </w:tc>
      </w:tr>
    </w:tbl>
    <w:p>
      <w:pPr>
        <w:spacing w:after="20"/>
      </w:pPr>
    </w:p>
    <w:p>
      <w:r>
        <w:t>The board should approve the amount, recipient, bank controls, spending categories, reporting schedule and milestones before a funding request is sent. Investors will need to see the proposed instrument and rights. Aution will not promise a fixed return unless a lawful and properly documented obligation is approved.</w:t>
      </w:r>
    </w:p>
    <w:p>
      <w:pPr>
        <w:pStyle w:val="Heading1"/>
      </w:pPr>
      <w:r>
        <w:t>Measures for a partner or funder</w:t>
      </w:r>
    </w:p>
    <w:tbl>
      <w:tblPr>
        <w:tblW w:type="auto" w:w="0"/>
        <w:jc w:val="center"/>
        <w:tblLayout w:type="fixed"/>
        <w:tblLook w:firstColumn="1" w:firstRow="1" w:lastColumn="0" w:lastRow="0" w:noHBand="0" w:noVBand="1" w:val="04A0"/>
      </w:tblPr>
      <w:tblGrid>
        <w:gridCol w:w="2304"/>
        <w:gridCol w:w="7488"/>
      </w:tblGrid>
      <w:tr>
        <w:trPr>
          <w:tblHeader w:val="true"/>
        </w:trPr>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Measure</w:t>
            </w:r>
          </w:p>
        </w:tc>
        <w:tc>
          <w:tcPr>
            <w:tcW w:type="dxa" w:w="4917"/>
            <w:vAlign w:val="center"/>
            <w:tcBorders>
              <w:top w:val="single" w:sz="5" w:color="D7E2E8"/>
              <w:left w:val="single" w:sz="5" w:color="D7E2E8"/>
              <w:bottom w:val="single" w:sz="5" w:color="D7E2E8"/>
              <w:right w:val="single" w:sz="5" w:color="D7E2E8"/>
              <w:insideH w:val="single" w:sz="5" w:color="D7E2E8"/>
              <w:insideV w:val="single" w:sz="5" w:color="D7E2E8"/>
            </w:tcBorders>
            <w:shd w:fill="17324D"/>
          </w:tcPr>
          <w:p>
            <w:pPr>
              <w:spacing w:after="0"/>
            </w:pPr>
            <w:r/>
            <w:r>
              <w:rPr>
                <w:rFonts w:ascii="Aptos" w:hAnsi="Aptos"/>
                <w:b/>
                <w:color w:val="FFFFFF"/>
                <w:sz w:val="16"/>
              </w:rPr>
              <w:t>Reporting evidence</w:t>
            </w:r>
          </w:p>
        </w:tc>
      </w:tr>
      <w:tr>
        <w:tc>
          <w:tcPr>
            <w:tcW w:type="dxa" w:w="230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Service delivery</w:t>
            </w:r>
          </w:p>
        </w:tc>
        <w:tc>
          <w:tcPr>
            <w:tcW w:type="dxa" w:w="7488"/>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Completed trips; on-time rate; cancellations; complaints; incidents; passenger feedback.</w:t>
            </w:r>
          </w:p>
        </w:tc>
      </w:tr>
      <w:tr>
        <w:tc>
          <w:tcPr>
            <w:tcW w:type="dxa" w:w="230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Operating capacity</w:t>
            </w:r>
          </w:p>
        </w:tc>
        <w:tc>
          <w:tcPr>
            <w:tcW w:type="dxa" w:w="7488"/>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Vehicle availability; passenger utilization; driver coverage; route capacity; backup plan.</w:t>
            </w:r>
          </w:p>
        </w:tc>
      </w:tr>
      <w:tr>
        <w:tc>
          <w:tcPr>
            <w:tcW w:type="dxa" w:w="2304"/>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Unit economics</w:t>
            </w:r>
          </w:p>
        </w:tc>
        <w:tc>
          <w:tcPr>
            <w:tcW w:type="dxa" w:w="7488"/>
            <w:vAlign w:val="center"/>
            <w:tcBorders>
              <w:top w:val="single" w:sz="5" w:color="D7E2E8"/>
              <w:left w:val="single" w:sz="5" w:color="D7E2E8"/>
              <w:bottom w:val="single" w:sz="5" w:color="D7E2E8"/>
              <w:right w:val="single" w:sz="5" w:color="D7E2E8"/>
              <w:insideH w:val="single" w:sz="5" w:color="D7E2E8"/>
              <w:insideV w:val="single" w:sz="5" w:color="D7E2E8"/>
            </w:tcBorders>
          </w:tcPr>
          <w:p>
            <w:pPr>
              <w:spacing w:after="0"/>
            </w:pPr>
            <w:r/>
            <w:r>
              <w:rPr>
                <w:rFonts w:ascii="Aptos" w:hAnsi="Aptos"/>
                <w:b w:val="0"/>
                <w:color w:val="243746"/>
                <w:sz w:val="16"/>
              </w:rPr>
              <w:t>Revenue per trip or route; direct cost per trip or kilometre; contribution after direct costs; payment timing.</w:t>
            </w:r>
          </w:p>
        </w:tc>
      </w:tr>
      <w:tr>
        <w:tc>
          <w:tcPr>
            <w:tcW w:type="dxa" w:w="2304"/>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Funding accountability</w:t>
            </w:r>
          </w:p>
        </w:tc>
        <w:tc>
          <w:tcPr>
            <w:tcW w:type="dxa" w:w="7488"/>
            <w:vAlign w:val="center"/>
            <w:tcBorders>
              <w:top w:val="single" w:sz="5" w:color="D7E2E8"/>
              <w:left w:val="single" w:sz="5" w:color="D7E2E8"/>
              <w:bottom w:val="single" w:sz="5" w:color="D7E2E8"/>
              <w:right w:val="single" w:sz="5" w:color="D7E2E8"/>
              <w:insideH w:val="single" w:sz="5" w:color="D7E2E8"/>
              <w:insideV w:val="single" w:sz="5" w:color="D7E2E8"/>
            </w:tcBorders>
            <w:shd w:fill="F3F7FA"/>
          </w:tcPr>
          <w:p>
            <w:pPr>
              <w:spacing w:after="0"/>
            </w:pPr>
            <w:r/>
            <w:r>
              <w:rPr>
                <w:rFonts w:ascii="Aptos" w:hAnsi="Aptos"/>
                <w:b w:val="0"/>
                <w:color w:val="243746"/>
                <w:sz w:val="16"/>
              </w:rPr>
              <w:t>Amount received and spent; receipts and invoices; milestone progress; cash balance and forecast.</w:t>
            </w:r>
          </w:p>
        </w:tc>
      </w:tr>
    </w:tbl>
    <w:p>
      <w:pPr>
        <w:spacing w:after="20"/>
      </w:pPr>
    </w:p>
    <w:p>
      <w:pPr>
        <w:pStyle w:val="Heading1"/>
      </w:pPr>
      <w:r>
        <w:t>Readiness items to verify before circulation</w:t>
      </w:r>
    </w:p>
    <w:p>
      <w:pPr>
        <w:pStyle w:val="ListBullet"/>
        <w:spacing w:after="60"/>
      </w:pPr>
      <w:r>
        <w:t>Current company registration, legal structure and authority of the person making the approach.</w:t>
      </w:r>
    </w:p>
    <w:p>
      <w:pPr>
        <w:pStyle w:val="ListBullet"/>
        <w:spacing w:after="60"/>
      </w:pPr>
      <w:r>
        <w:t>Current ownership, director appointments, MOI, annual returns and beneficial ownership filing status.</w:t>
      </w:r>
    </w:p>
    <w:p>
      <w:pPr>
        <w:pStyle w:val="ListBullet"/>
        <w:spacing w:after="60"/>
      </w:pPr>
      <w:r>
        <w:t>Actual vehicle, title or finance position, passenger capacity, driver availability and backup arrangements.</w:t>
      </w:r>
    </w:p>
    <w:p>
      <w:pPr>
        <w:pStyle w:val="ListBullet"/>
        <w:spacing w:after="60"/>
      </w:pPr>
      <w:r>
        <w:t>Relevant route and service permissions, driver requirements, insurance certificates and incident procedure.</w:t>
      </w:r>
    </w:p>
    <w:p>
      <w:pPr>
        <w:pStyle w:val="ListBullet"/>
        <w:spacing w:after="60"/>
      </w:pPr>
      <w:r>
        <w:t>Verified customer history, trip volumes, revenue, operating expenses and route-level margins.</w:t>
      </w:r>
    </w:p>
    <w:p>
      <w:pPr>
        <w:pStyle w:val="ListBullet"/>
        <w:spacing w:after="60"/>
      </w:pPr>
      <w:r>
        <w:t>Written privacy notice and safe handling of passenger, student and worker information.</w:t>
      </w:r>
    </w:p>
    <w:p>
      <w:pPr>
        <w:pStyle w:val="ListBullet"/>
        <w:spacing w:after="60"/>
      </w:pPr>
      <w:r>
        <w:t>For investment, approved amount, legal recipient, use of funds, instrument, valuation or repayment terms, investor rights and board resolution.</w:t>
      </w:r>
    </w:p>
    <w:p>
      <w:pPr>
        <w:pStyle w:val="Heading1"/>
      </w:pPr>
      <w:r>
        <w:t>Invitation to discuss a route or partnership</w:t>
      </w:r>
    </w:p>
    <w:p>
      <w:r>
        <w:t>We would welcome a conversation about a specific student or worker transport need. To prepare a useful proposal, please share expected passenger volume, route or pickup zones, service days and times, procurement process, target start date and the person responsible for transport operations. We will then confirm whether Aution Mobile can meet the requirement and what partner resources or approvals may be needed.</w:t>
      </w:r>
    </w:p>
    <w:tbl>
      <w:tblPr>
        <w:tblW w:type="auto" w:w="0"/>
        <w:tblLook w:firstColumn="1" w:firstRow="1" w:lastColumn="0" w:lastRow="0" w:noHBand="0" w:noVBand="1" w:val="04A0"/>
      </w:tblPr>
      <w:tblGrid>
        <w:gridCol w:w="9835"/>
      </w:tblGrid>
      <w:tr>
        <w:tc>
          <w:tcPr>
            <w:tcW w:type="dxa" w:w="9835"/>
            <w:shd w:fill="F3F7FA"/>
          </w:tcPr>
          <w:p>
            <w:pPr>
              <w:spacing w:after="0"/>
            </w:pPr>
            <w:r/>
            <w:r>
              <w:rPr>
                <w:color w:val="17324D"/>
                <w:sz w:val="18"/>
              </w:rPr>
              <w:t>Aution Mobile contact: [Name and authorized role]  |  [Email]  |  [Telephone]  |  Proposed meeting: [Date or link]</w:t>
            </w:r>
          </w:p>
        </w:tc>
      </w:tr>
    </w:tbl>
    <w:p>
      <w:pPr>
        <w:spacing w:after="20"/>
      </w:pPr>
    </w:p>
    <w:p>
      <w:pPr>
        <w:pStyle w:val="Heading1"/>
      </w:pPr>
      <w:r>
        <w:t>External claims standard</w:t>
      </w:r>
    </w:p>
    <w:p>
      <w:r>
        <w:t>Before publication, replace every bracketed field with a verified fact or remove it. Do not claim fleet size, operating permit, driver vetting, insurance cover, safety certification, customer result, service area or partnership unless current supporting evidence is available. Describe planned services as proposed until the team has confirmed and approved them.</w:t>
      </w:r>
    </w:p>
    <w:sectPr w:rsidR="00FC693F" w:rsidRPr="0006063C" w:rsidSect="00034616">
      <w:headerReference w:type="default" r:id="rId9"/>
      <w:footerReference w:type="default" r:id="rId10"/>
      <w:pgSz w:w="11909" w:h="16834"/>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4"/>
        <w:sz w:val="16"/>
      </w:rPr>
      <w:t xml:space="preserve">Working draft  •  18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D718A"/>
        <w:sz w:val="16"/>
      </w:rPr>
      <w:t>AUTION  |  AUTION MOBILE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D71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