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FFF3CD" w:val="clear"/>
            <w:tcMar>
              <w:top w:type="dxa" w:w="80"/>
              <w:left w:type="dxa" w:w="160"/>
              <w:bottom w:type="dxa" w:w="80"/>
              <w:right w:type="dxa" w:w="160"/>
            </w:tcMar>
          </w:tcPr>
          <w:p>
            <w:pPr>
              <w:jc w:val="center"/>
            </w:pPr>
            <w:r>
              <w:rPr>
                <w:rFonts w:ascii="Arial" w:cs="Arial" w:eastAsia="Arial" w:hAnsi="Arial"/>
                <w:b/>
                <w:bCs/>
                <w:color w:val="856404"/>
                <w:sz w:val="18"/>
                <w:szCs w:val="18"/>
              </w:rPr>
              <w:t xml:space="preserve">⚠  DEMO DOCUMENT — FOR ILLUSTRATION PURPOSES ONLY  ⚠</w:t>
            </w:r>
          </w:p>
        </w:tc>
      </w:tr>
    </w:tbl>
    <w:p>
      <w:pPr>
        <w:spacing w:after="60" w:before="1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3253"/>
        <w:gridCol w:w="3253"/>
      </w:tblGrid>
      <w:tr>
        <w:tc>
          <w:tcPr>
            <w:tcW w:type="dxa" w:w="32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FIR Number:</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KRP-2025-0312-RB01</w:t>
            </w:r>
          </w:p>
        </w:tc>
        <w:tc>
          <w:tcPr>
            <w:tcW w:type="dxa" w:w="3253"/>
            <w:tcBorders>
              <w:top w:val="single" w:color="cccccc" w:sz="4"/>
              <w:left w:val="single" w:color="cccccc" w:sz="4"/>
              <w:bottom w:val="single" w:color="cccccc" w:sz="4"/>
              <w:right w:val="single" w:color="cccccc" w:sz="4"/>
            </w:tcBorders>
            <w:shd w:fill="8B000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ARMED ROBBERY — HIGH VALUE</w:t>
            </w:r>
          </w:p>
        </w:tc>
      </w:tr>
      <w:tr>
        <w:tc>
          <w:tcPr>
            <w:tcW w:type="dxa" w:w="32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Date of Incident: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12 March 2025 (Wednesday)</w:t>
            </w:r>
          </w:p>
        </w:tc>
        <w:tc>
          <w:tcPr>
            <w:tcW w:type="dxa" w:w="3253"/>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Police Station:</w:t>
            </w:r>
          </w:p>
        </w:tc>
      </w:tr>
      <w:tr>
        <w:tc>
          <w:tcPr>
            <w:tcW w:type="dxa" w:w="32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Time of Incident: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Approximately 8:45 PM IST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Kochi Downtown Police Station</w:t>
            </w:r>
          </w:p>
        </w:tc>
      </w:tr>
      <w:tr>
        <w:tc>
          <w:tcPr>
            <w:tcW w:type="dxa" w:w="32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Date of Registration:</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12 March 2025</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Ernakulam District, Kerala</w:t>
            </w:r>
          </w:p>
        </w:tc>
      </w:tr>
    </w:tbl>
    <w:p>
      <w:pPr>
        <w:spacing w:after="60" w:before="200"/>
      </w:pPr>
    </w:p>
    <w:p>
      <w:pPr>
        <w:pBdr>
          <w:bottom w:val="single" w:color="2C1654" w:sz="8" w:space="4"/>
        </w:pBdr>
        <w:spacing w:after="80" w:before="260"/>
      </w:pPr>
      <w:r>
        <w:rPr>
          <w:rFonts w:ascii="Arial" w:cs="Arial" w:eastAsia="Arial" w:hAnsi="Arial"/>
          <w:b/>
          <w:bCs/>
          <w:color w:val="2C1654"/>
          <w:sz w:val="23"/>
          <w:szCs w:val="23"/>
        </w:rPr>
        <w:t xml:space="preserve">■  PART I — OFFENCE PARTICULARS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Nature of Offence: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Armed Robbery — High Value Jewellery Theft</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Date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12 March 2025 (Wednesday)</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Time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Approximately 8:45 PM IST (near closing time)</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Place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Jewellery Store, Downtown Jewellery Market Area, Kochi, Ernakulam District, Kerala (exact address under verification)</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Target Establishment:</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Jewellery shop — name and address to be recorded in final report</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Property Stolen: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Gold ornaments and jewellery items — estimated value ₹25,00,000 (Rupees Twenty-Five Lakhs)</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Motive (Alleged):</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Financial — suspects targeted the store near closing time when staff presence was minimal</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Case Status: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Under Investigation — FIR Registered</w:t>
            </w:r>
          </w:p>
        </w:tc>
      </w:tr>
    </w:tbl>
    <w:p>
      <w:pPr>
        <w:spacing w:after="60" w:before="200"/>
      </w:pPr>
    </w:p>
    <w:p>
      <w:pPr>
        <w:pBdr>
          <w:bottom w:val="single" w:color="2C1654" w:sz="8" w:space="4"/>
        </w:pBdr>
        <w:spacing w:after="80" w:before="260"/>
      </w:pPr>
      <w:r>
        <w:rPr>
          <w:rFonts w:ascii="Arial" w:cs="Arial" w:eastAsia="Arial" w:hAnsi="Arial"/>
          <w:b/>
          <w:bCs/>
          <w:color w:val="2C1654"/>
          <w:sz w:val="23"/>
          <w:szCs w:val="23"/>
        </w:rPr>
        <w:t xml:space="preserve">■  PART II — ACCUSED PERSONS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506"/>
        <w:gridCol w:w="2400"/>
        <w:gridCol w:w="3500"/>
      </w:tblGrid>
      <w:tr>
        <w:tc>
          <w:tcPr>
            <w:tcW w:type="dxa" w:w="500"/>
            <w:tcBorders>
              <w:top w:val="single" w:color="cccccc" w:sz="4"/>
              <w:left w:val="single" w:color="cccccc" w:sz="4"/>
              <w:bottom w:val="single" w:color="cccccc" w:sz="4"/>
              <w:right w:val="single" w:color="cccccc" w:sz="4"/>
            </w:tcBorders>
            <w:shd w:fill="2C1654"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1800"/>
            <w:tcBorders>
              <w:top w:val="single" w:color="cccccc" w:sz="4"/>
              <w:left w:val="single" w:color="cccccc" w:sz="4"/>
              <w:bottom w:val="single" w:color="cccccc" w:sz="4"/>
              <w:right w:val="single" w:color="cccccc" w:sz="4"/>
            </w:tcBorders>
            <w:shd w:fill="2C1654" w:val="clear"/>
            <w:tcMar>
              <w:top w:type="dxa" w:w="100"/>
              <w:left w:type="dxa" w:w="140"/>
              <w:bottom w:type="dxa" w:w="100"/>
              <w:right w:type="dxa" w:w="140"/>
            </w:tcMar>
            <w:vAlign w:val="center"/>
          </w:tcPr>
          <w:p>
            <w:r>
              <w:rPr>
                <w:rFonts w:ascii="Arial" w:cs="Arial" w:eastAsia="Arial" w:hAnsi="Arial"/>
                <w:b/>
                <w:bCs/>
                <w:color w:val="FFFFFF"/>
                <w:sz w:val="20"/>
                <w:szCs w:val="20"/>
              </w:rPr>
              <w:t xml:space="preserve">Identity</w:t>
            </w:r>
          </w:p>
        </w:tc>
        <w:tc>
          <w:tcPr>
            <w:tcW w:type="dxa" w:w="1506"/>
            <w:tcBorders>
              <w:top w:val="single" w:color="cccccc" w:sz="4"/>
              <w:left w:val="single" w:color="cccccc" w:sz="4"/>
              <w:bottom w:val="single" w:color="cccccc" w:sz="4"/>
              <w:right w:val="single" w:color="cccccc" w:sz="4"/>
            </w:tcBorders>
            <w:shd w:fill="2C1654" w:val="clear"/>
            <w:tcMar>
              <w:top w:type="dxa" w:w="100"/>
              <w:left w:type="dxa" w:w="140"/>
              <w:bottom w:type="dxa" w:w="100"/>
              <w:right w:type="dxa" w:w="140"/>
            </w:tcMar>
            <w:vAlign w:val="center"/>
          </w:tcPr>
          <w:p>
            <w:r>
              <w:rPr>
                <w:rFonts w:ascii="Arial" w:cs="Arial" w:eastAsia="Arial" w:hAnsi="Arial"/>
                <w:b/>
                <w:bCs/>
                <w:color w:val="FFFFFF"/>
                <w:sz w:val="20"/>
                <w:szCs w:val="20"/>
              </w:rPr>
              <w:t xml:space="preserve">Gender</w:t>
            </w:r>
          </w:p>
        </w:tc>
        <w:tc>
          <w:tcPr>
            <w:tcW w:type="dxa" w:w="2400"/>
            <w:tcBorders>
              <w:top w:val="single" w:color="cccccc" w:sz="4"/>
              <w:left w:val="single" w:color="cccccc" w:sz="4"/>
              <w:bottom w:val="single" w:color="cccccc" w:sz="4"/>
              <w:right w:val="single" w:color="cccccc" w:sz="4"/>
            </w:tcBorders>
            <w:shd w:fill="2C1654" w:val="clear"/>
            <w:tcMar>
              <w:top w:type="dxa" w:w="100"/>
              <w:left w:type="dxa" w:w="140"/>
              <w:bottom w:type="dxa" w:w="100"/>
              <w:right w:type="dxa" w:w="140"/>
            </w:tcMar>
            <w:vAlign w:val="center"/>
          </w:tcPr>
          <w:p>
            <w:r>
              <w:rPr>
                <w:rFonts w:ascii="Arial" w:cs="Arial" w:eastAsia="Arial" w:hAnsi="Arial"/>
                <w:b/>
                <w:bCs/>
                <w:color w:val="FFFFFF"/>
                <w:sz w:val="20"/>
                <w:szCs w:val="20"/>
              </w:rPr>
              <w:t xml:space="preserve">Physical Description</w:t>
            </w:r>
          </w:p>
        </w:tc>
        <w:tc>
          <w:tcPr>
            <w:tcW w:type="dxa" w:w="3500"/>
            <w:tcBorders>
              <w:top w:val="single" w:color="cccccc" w:sz="4"/>
              <w:left w:val="single" w:color="cccccc" w:sz="4"/>
              <w:bottom w:val="single" w:color="cccccc" w:sz="4"/>
              <w:right w:val="single" w:color="cccccc" w:sz="4"/>
            </w:tcBorders>
            <w:shd w:fill="2C1654"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500"/>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val="false"/>
                <w:bCs w:val="false"/>
                <w:color w:val="222222"/>
                <w:sz w:val="20"/>
                <w:szCs w:val="20"/>
              </w:rPr>
              <w:t xml:space="preserve">1</w:t>
            </w:r>
          </w:p>
        </w:tc>
        <w:tc>
          <w:tcPr>
            <w:tcW w:type="dxa" w:w="1800"/>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bCs/>
                <w:color w:val="222222"/>
                <w:sz w:val="20"/>
                <w:szCs w:val="20"/>
              </w:rPr>
              <w:t xml:space="preserve">Suspect A [Unidentified]</w:t>
            </w:r>
          </w:p>
        </w:tc>
        <w:tc>
          <w:tcPr>
            <w:tcW w:type="dxa" w:w="1506"/>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val="false"/>
                <w:bCs w:val="false"/>
                <w:color w:val="222222"/>
                <w:sz w:val="20"/>
                <w:szCs w:val="20"/>
              </w:rPr>
              <w:t xml:space="preserve">Unknown</w:t>
            </w:r>
          </w:p>
        </w:tc>
        <w:tc>
          <w:tcPr>
            <w:tcW w:type="dxa" w:w="2400"/>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val="false"/>
                <w:bCs w:val="false"/>
                <w:color w:val="222222"/>
                <w:sz w:val="20"/>
                <w:szCs w:val="20"/>
              </w:rPr>
              <w:t xml:space="preserve">Masked — full face concealed at time of offence</w:t>
            </w:r>
          </w:p>
        </w:tc>
        <w:tc>
          <w:tcPr>
            <w:tcW w:type="dxa" w:w="3500"/>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val="false"/>
                <w:bCs w:val="false"/>
                <w:color w:val="222222"/>
                <w:sz w:val="20"/>
                <w:szCs w:val="20"/>
              </w:rPr>
              <w:t xml:space="preserve">At large — identity under investigation</w:t>
            </w:r>
          </w:p>
        </w:tc>
      </w:tr>
      <w:tr>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Suspect B [Unidentified]</w:t>
            </w:r>
          </w:p>
        </w:tc>
        <w:tc>
          <w:tcPr>
            <w:tcW w:type="dxa" w:w="15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Unknown</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Masked — full face concealed at time of offence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At large — identity under investigation</w:t>
            </w:r>
          </w:p>
        </w:tc>
      </w:tr>
    </w:tbl>
    <w:p>
      <w:pPr>
        <w:spacing w:after="60" w:before="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Number of Suspects: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Two (2)</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Disguise Used:</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Both suspects wore masks concealing their faces throughout the incident</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Weapons / Tools: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Armed — nature of weapon(s) carried to be confirmed from witness statements and CCTV review</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Mode of Escape: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To be determined — investigation ongoing</w:t>
            </w:r>
          </w:p>
        </w:tc>
      </w:tr>
    </w:tbl>
    <w:p>
      <w:pPr>
        <w:spacing w:after="60" w:before="200"/>
      </w:pPr>
    </w:p>
    <w:p>
      <w:pPr>
        <w:pBdr>
          <w:bottom w:val="single" w:color="2C1654" w:sz="8" w:space="4"/>
        </w:pBdr>
        <w:spacing w:after="80" w:before="260"/>
      </w:pPr>
      <w:r>
        <w:rPr>
          <w:rFonts w:ascii="Arial" w:cs="Arial" w:eastAsia="Arial" w:hAnsi="Arial"/>
          <w:b/>
          <w:bCs/>
          <w:color w:val="2C1654"/>
          <w:sz w:val="23"/>
          <w:szCs w:val="23"/>
        </w:rPr>
        <w:t xml:space="preserve">■  PART III — COMPLAINANT / VICTIM DETAILS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Complainant:</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Owner / Manager of the jewellery store [Name to be recorded — Demo]</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Staff Present:</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Minimal — suspects chose near-closing time to ensure reduced staff presence</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Injuries to Staff:</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To be confirmed — statements from staff members being recorded</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Property Lost:</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Gold ornaments and jewellery — estimated value ₹25,00,000; detailed inventory to be attached</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Store Damage: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To be assessed — scene documentation in progress</w:t>
            </w:r>
          </w:p>
        </w:tc>
      </w:tr>
    </w:tbl>
    <w:p>
      <w:pPr>
        <w:spacing w:after="60" w:before="200"/>
      </w:pPr>
    </w:p>
    <w:p>
      <w:pPr>
        <w:pBdr>
          <w:bottom w:val="single" w:color="2C1654" w:sz="8" w:space="4"/>
        </w:pBdr>
        <w:spacing w:after="80" w:before="260"/>
      </w:pPr>
      <w:r>
        <w:rPr>
          <w:rFonts w:ascii="Arial" w:cs="Arial" w:eastAsia="Arial" w:hAnsi="Arial"/>
          <w:b/>
          <w:bCs/>
          <w:color w:val="2C1654"/>
          <w:sz w:val="23"/>
          <w:szCs w:val="23"/>
        </w:rPr>
        <w:t xml:space="preserve">■  PART IV — CIRCUMSTANCES OF THE INCIDENT</w:t>
      </w:r>
    </w:p>
    <w:p>
      <w:pPr>
        <w:spacing w:after="80" w:before="100"/>
      </w:pPr>
    </w:p>
    <w:p>
      <w:pPr>
        <w:spacing w:after="80" w:before="80"/>
        <w:jc w:val="both"/>
      </w:pPr>
      <w:r>
        <w:rPr>
          <w:rFonts w:ascii="Arial" w:cs="Arial" w:eastAsia="Arial" w:hAnsi="Arial"/>
          <w:color w:val="222222"/>
          <w:sz w:val="20"/>
          <w:szCs w:val="20"/>
        </w:rPr>
        <w:t xml:space="preserve">On 12 March 2025, at approximately 8:45 PM IST, an armed robbery took place at a jewellery store located in the downtown jewellery market area of Kochi, Ernakulam District, Kerala. The incident occurred shortly before the store's closing time, a period when staff presence within the establishment was at its minimum — a circumstance that appears to have been deliberately exploited by the perpetrators.</w:t>
      </w:r>
    </w:p>
    <w:p>
      <w:pPr>
        <w:spacing w:after="80" w:before="80"/>
        <w:jc w:val="both"/>
      </w:pPr>
      <w:r>
        <w:rPr>
          <w:rFonts w:ascii="Arial" w:cs="Arial" w:eastAsia="Arial" w:hAnsi="Arial"/>
          <w:color w:val="222222"/>
          <w:sz w:val="20"/>
          <w:szCs w:val="20"/>
        </w:rPr>
        <w:t xml:space="preserve">Two unidentified suspects, both wearing masks that fully concealed their faces, entered the jewellery store and proceeded to commit an armed robbery. The suspects threatened the store staff and forcibly took possession of gold ornaments and jewellery items estimated to be worth approximately ₹25,00,000 (Rupees Twenty-Five Lakhs). Upon completing the robbery, both suspects fled the scene. Their identities remain unknown at the time of filing this FIR.</w:t>
      </w:r>
    </w:p>
    <w:p>
      <w:pPr>
        <w:spacing w:after="80" w:before="80"/>
        <w:jc w:val="both"/>
      </w:pPr>
      <w:r>
        <w:rPr>
          <w:rFonts w:ascii="Arial" w:cs="Arial" w:eastAsia="Arial" w:hAnsi="Arial"/>
          <w:color w:val="222222"/>
          <w:sz w:val="20"/>
          <w:szCs w:val="20"/>
        </w:rPr>
        <w:t xml:space="preserve">A complaint was lodged with Kochi Downtown Police Station, and police personnel responded to the scene. The area was secured, preliminary evidence was documented, and witness statements from staff members present at the time are being recorded. The financial motive is established given the high-value nature of the targeted goods and the deliberate timing of the offence near the store's closing hour.</w:t>
      </w:r>
    </w:p>
    <w:p>
      <w:pPr>
        <w:spacing w:after="80" w:before="80"/>
        <w:jc w:val="both"/>
      </w:pPr>
      <w:r>
        <w:rPr>
          <w:rFonts w:ascii="Arial" w:cs="Arial" w:eastAsia="Arial" w:hAnsi="Arial"/>
          <w:color w:val="222222"/>
          <w:sz w:val="20"/>
          <w:szCs w:val="20"/>
        </w:rPr>
        <w:t xml:space="preserve">Investigation is actively ongoing. CCTV footage retrieval from the store premises and surrounding market area is underway. Identification of the two suspects, tracing of the stolen property, and determination of the mode of escape are the primary objectives of the investigation.</w:t>
      </w:r>
    </w:p>
    <w:p>
      <w:pPr>
        <w:spacing w:after="60" w:before="200"/>
      </w:pPr>
    </w:p>
    <w:p>
      <w:pPr>
        <w:pBdr>
          <w:bottom w:val="single" w:color="2C1654" w:sz="8" w:space="4"/>
        </w:pBdr>
        <w:spacing w:after="80" w:before="260"/>
      </w:pPr>
      <w:r>
        <w:rPr>
          <w:rFonts w:ascii="Arial" w:cs="Arial" w:eastAsia="Arial" w:hAnsi="Arial"/>
          <w:b/>
          <w:bCs/>
          <w:color w:val="2C1654"/>
          <w:sz w:val="23"/>
          <w:szCs w:val="23"/>
        </w:rPr>
        <w:t xml:space="preserve">■  PART V — STOLEN PROPERTY</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3506"/>
        <w:gridCol w:w="2700"/>
        <w:gridCol w:w="3000"/>
      </w:tblGrid>
      <w:tr>
        <w:tc>
          <w:tcPr>
            <w:tcW w:type="dxa" w:w="500"/>
            <w:tcBorders>
              <w:top w:val="single" w:color="cccccc" w:sz="4"/>
              <w:left w:val="single" w:color="cccccc" w:sz="4"/>
              <w:bottom w:val="single" w:color="cccccc" w:sz="4"/>
              <w:right w:val="single" w:color="cccccc" w:sz="4"/>
            </w:tcBorders>
            <w:shd w:fill="2C1654"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506"/>
            <w:tcBorders>
              <w:top w:val="single" w:color="cccccc" w:sz="4"/>
              <w:left w:val="single" w:color="cccccc" w:sz="4"/>
              <w:bottom w:val="single" w:color="cccccc" w:sz="4"/>
              <w:right w:val="single" w:color="cccccc" w:sz="4"/>
            </w:tcBorders>
            <w:shd w:fill="2C1654"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700"/>
            <w:tcBorders>
              <w:top w:val="single" w:color="cccccc" w:sz="4"/>
              <w:left w:val="single" w:color="cccccc" w:sz="4"/>
              <w:bottom w:val="single" w:color="cccccc" w:sz="4"/>
              <w:right w:val="single" w:color="cccccc" w:sz="4"/>
            </w:tcBorders>
            <w:shd w:fill="2C1654"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Estimated Value</w:t>
            </w:r>
          </w:p>
        </w:tc>
        <w:tc>
          <w:tcPr>
            <w:tcW w:type="dxa" w:w="3000"/>
            <w:tcBorders>
              <w:top w:val="single" w:color="cccccc" w:sz="4"/>
              <w:left w:val="single" w:color="cccccc" w:sz="4"/>
              <w:bottom w:val="single" w:color="cccccc" w:sz="4"/>
              <w:right w:val="single" w:color="cccccc" w:sz="4"/>
            </w:tcBorders>
            <w:shd w:fill="2C165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Remarks</w:t>
            </w:r>
          </w:p>
        </w:tc>
      </w:tr>
      <w:tr>
        <w:tc>
          <w:tcPr>
            <w:tcW w:type="dxa" w:w="500"/>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val="false"/>
                <w:bCs w:val="false"/>
                <w:color w:val="222222"/>
                <w:sz w:val="20"/>
                <w:szCs w:val="20"/>
              </w:rPr>
              <w:t xml:space="preserve">1</w:t>
            </w:r>
          </w:p>
        </w:tc>
        <w:tc>
          <w:tcPr>
            <w:tcW w:type="dxa" w:w="3506"/>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val="false"/>
                <w:bCs w:val="false"/>
                <w:color w:val="222222"/>
                <w:sz w:val="20"/>
                <w:szCs w:val="20"/>
              </w:rPr>
              <w:t xml:space="preserve">Gold ornaments and jewellery items</w:t>
            </w:r>
          </w:p>
        </w:tc>
        <w:tc>
          <w:tcPr>
            <w:tcW w:type="dxa" w:w="2700"/>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bCs/>
                <w:color w:val="222222"/>
                <w:sz w:val="20"/>
                <w:szCs w:val="20"/>
              </w:rPr>
              <w:t xml:space="preserve">₹ 25,00,000 (approx.)</w:t>
            </w:r>
          </w:p>
        </w:tc>
        <w:tc>
          <w:tcPr>
            <w:tcW w:type="dxa" w:w="3000"/>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val="false"/>
                <w:bCs w:val="false"/>
                <w:color w:val="222222"/>
                <w:sz w:val="20"/>
                <w:szCs w:val="20"/>
              </w:rPr>
              <w:t xml:space="preserve">Detailed inventory to be furnished by complainant</w:t>
            </w:r>
          </w:p>
        </w:tc>
      </w:tr>
    </w:tbl>
    <w:p>
      <w:pPr>
        <w:spacing w:after="60" w:before="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Total Estimated Value: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 25,00,000 (Rupees Twenty-Five Lakhs)</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Inventory Status: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Detailed itemised inventory of stolen goods to be prepared and attached by store owner / insurance records</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Recovery Status: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 recovery at time of filing — alerts issued; investigation ongoing</w:t>
            </w:r>
          </w:p>
        </w:tc>
      </w:tr>
    </w:tbl>
    <w:p>
      <w:pPr>
        <w:spacing w:after="60" w:before="200"/>
      </w:pPr>
    </w:p>
    <w:p>
      <w:pPr>
        <w:pBdr>
          <w:bottom w:val="single" w:color="2C1654" w:sz="8" w:space="4"/>
        </w:pBdr>
        <w:spacing w:after="80" w:before="260"/>
      </w:pPr>
      <w:r>
        <w:rPr>
          <w:rFonts w:ascii="Arial" w:cs="Arial" w:eastAsia="Arial" w:hAnsi="Arial"/>
          <w:b/>
          <w:bCs/>
          <w:color w:val="2C1654"/>
          <w:sz w:val="23"/>
          <w:szCs w:val="23"/>
        </w:rPr>
        <w:t xml:space="preserve">■  PART VI — INVESTIGATION ACTIONS TAKEN</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FIR Registered:</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Yes — under IPC / BNS robbery and arms provisions</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Scene Documentation: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Photographs taken; scene secured; physical evidence collected from store premises</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CCTV Footage: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Retrieval requested from store cameras and surrounding market area / street surveillance</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Witness Statements: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Statements being recorded from store staff present during the incident</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Suspect Trace: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Description-based alerts issued; CCTV analysis underway to determine mode of escape and suspect identification</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Property Alerts: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Circulars issued to jewellery dealers and gold markets in the region to report suspicious transactions</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Follow-Up Action: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Ongoing — identification of suspects and recovery of stolen property are primary investigative objectives</w:t>
            </w:r>
          </w:p>
        </w:tc>
      </w:tr>
    </w:tbl>
    <w:p>
      <w:pPr>
        <w:spacing w:after="60" w:before="200"/>
      </w:pPr>
    </w:p>
    <w:p>
      <w:pPr>
        <w:pBdr>
          <w:bottom w:val="single" w:color="2C1654" w:sz="8" w:space="4"/>
        </w:pBdr>
        <w:spacing w:after="80" w:before="260"/>
      </w:pPr>
      <w:r>
        <w:rPr>
          <w:rFonts w:ascii="Arial" w:cs="Arial" w:eastAsia="Arial" w:hAnsi="Arial"/>
          <w:b/>
          <w:bCs/>
          <w:color w:val="2C1654"/>
          <w:sz w:val="23"/>
          <w:szCs w:val="23"/>
        </w:rPr>
        <w:t xml:space="preserve">■  PART VII — STATUTORY PROVISIONS INVOKED</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700"/>
        <w:gridCol w:w="7006"/>
      </w:tblGrid>
      <w:tr>
        <w:tc>
          <w:tcPr>
            <w:tcW w:type="dxa" w:w="2700"/>
            <w:tcBorders>
              <w:top w:val="single" w:color="cccccc" w:sz="4"/>
              <w:left w:val="single" w:color="cccccc" w:sz="4"/>
              <w:bottom w:val="single" w:color="cccccc" w:sz="4"/>
              <w:right w:val="single" w:color="cccccc" w:sz="4"/>
            </w:tcBorders>
            <w:shd w:fill="2C1654"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Provision</w:t>
            </w:r>
          </w:p>
        </w:tc>
        <w:tc>
          <w:tcPr>
            <w:tcW w:type="dxa" w:w="7006"/>
            <w:tcBorders>
              <w:top w:val="single" w:color="cccccc" w:sz="4"/>
              <w:left w:val="single" w:color="cccccc" w:sz="4"/>
              <w:bottom w:val="single" w:color="cccccc" w:sz="4"/>
              <w:right w:val="single" w:color="cccccc" w:sz="4"/>
            </w:tcBorders>
            <w:shd w:fill="2C165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700"/>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bCs/>
                <w:color w:val="222222"/>
                <w:sz w:val="20"/>
                <w:szCs w:val="20"/>
              </w:rPr>
              <w:t xml:space="preserve">BNS Sec. 309 / IPC Sec. 392</w:t>
            </w:r>
          </w:p>
        </w:tc>
        <w:tc>
          <w:tcPr>
            <w:tcW w:type="dxa" w:w="7006"/>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val="false"/>
                <w:bCs w:val="false"/>
                <w:color w:val="222222"/>
                <w:sz w:val="20"/>
                <w:szCs w:val="20"/>
              </w:rPr>
              <w:t xml:space="preserve">Robbery — whoever commits theft and causes or attempts to cause death, hurt, or wrongful restraint to commit the theft. Punishable with rigorous imprisonment up to 10 years and fine.</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BNS Sec. 310 / IPC Sec. 395</w:t>
            </w:r>
          </w:p>
        </w:tc>
        <w:tc>
          <w:tcPr>
            <w:tcW w:type="dxa" w:w="70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Dacoity — applicable if investigation confirms five or more persons involved; punishable with imprisonment for life or rigorous imprisonment up to 10 years and fine.</w:t>
            </w:r>
          </w:p>
        </w:tc>
      </w:tr>
      <w:tr>
        <w:tc>
          <w:tcPr>
            <w:tcW w:type="dxa" w:w="2700"/>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bCs/>
                <w:color w:val="222222"/>
                <w:sz w:val="20"/>
                <w:szCs w:val="20"/>
              </w:rPr>
              <w:t xml:space="preserve">BNS Sec. 311 / IPC Sec. 397</w:t>
            </w:r>
          </w:p>
        </w:tc>
        <w:tc>
          <w:tcPr>
            <w:tcW w:type="dxa" w:w="7006"/>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val="false"/>
                <w:bCs w:val="false"/>
                <w:color w:val="222222"/>
                <w:sz w:val="20"/>
                <w:szCs w:val="20"/>
              </w:rPr>
              <w:t xml:space="preserve">Robbery or dacoity with attempt to cause death or grievous hurt — if arms were used during the commission of the offence; punishable with rigorous imprisonment of not less than 7 years.</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Arms Act — Sec. 25/27</w:t>
            </w:r>
          </w:p>
        </w:tc>
        <w:tc>
          <w:tcPr>
            <w:tcW w:type="dxa" w:w="70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Possession and use of unlicensed arms / weapons during the commission of an offence — to be assessed upon identification and recovery of weapons.</w:t>
            </w:r>
          </w:p>
        </w:tc>
      </w:tr>
      <w:tr>
        <w:tc>
          <w:tcPr>
            <w:tcW w:type="dxa" w:w="2700"/>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bCs/>
                <w:color w:val="222222"/>
                <w:sz w:val="20"/>
                <w:szCs w:val="20"/>
              </w:rPr>
              <w:t xml:space="preserve">BNS Sec. 111 / IPC Sec. 120B</w:t>
            </w:r>
          </w:p>
        </w:tc>
        <w:tc>
          <w:tcPr>
            <w:tcW w:type="dxa" w:w="7006"/>
            <w:tcBorders>
              <w:top w:val="single" w:color="cccccc" w:sz="4"/>
              <w:left w:val="single" w:color="cccccc" w:sz="4"/>
              <w:bottom w:val="single" w:color="cccccc" w:sz="4"/>
              <w:right w:val="single" w:color="cccccc" w:sz="4"/>
            </w:tcBorders>
            <w:shd w:fill="F7F3FC" w:val="clear"/>
            <w:tcMar>
              <w:top w:type="dxa" w:w="100"/>
              <w:left w:type="dxa" w:w="140"/>
              <w:bottom w:type="dxa" w:w="100"/>
              <w:right w:type="dxa" w:w="140"/>
            </w:tcMar>
          </w:tcPr>
          <w:p>
            <w:r>
              <w:rPr>
                <w:rFonts w:ascii="Arial" w:cs="Arial" w:eastAsia="Arial" w:hAnsi="Arial"/>
                <w:b w:val="false"/>
                <w:bCs w:val="false"/>
                <w:color w:val="222222"/>
                <w:sz w:val="20"/>
                <w:szCs w:val="20"/>
              </w:rPr>
              <w:t xml:space="preserve">Criminal conspiracy — applicable given the premeditated, coordinated nature of the offence targeting a specific establishment at a strategically chosen time.</w:t>
            </w:r>
          </w:p>
        </w:tc>
      </w:tr>
    </w:tbl>
    <w:p>
      <w:pPr>
        <w:spacing w:after="60" w:before="200"/>
      </w:pPr>
    </w:p>
    <w:p>
      <w:pPr>
        <w:pBdr>
          <w:bottom w:val="single" w:color="2C1654" w:sz="8" w:space="4"/>
        </w:pBdr>
        <w:spacing w:after="80" w:before="260"/>
      </w:pPr>
      <w:r>
        <w:rPr>
          <w:rFonts w:ascii="Arial" w:cs="Arial" w:eastAsia="Arial" w:hAnsi="Arial"/>
          <w:b/>
          <w:bCs/>
          <w:color w:val="2C1654"/>
          <w:sz w:val="23"/>
          <w:szCs w:val="23"/>
        </w:rPr>
        <w:t xml:space="preserve">■  PART VIII — INVESTIGATING OFFICER DETAILS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Police Station: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Kochi Downtown Police Station, Ernakulam District, Kerala</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Investigating Officer:</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Sub-Inspector of Police [Name Withheld — Demo] | Badge No: [DEMO]</w:t>
            </w:r>
          </w:p>
        </w:tc>
      </w:tr>
      <w:tr>
        <w:tc>
          <w:tcPr>
            <w:tcW w:type="dxa" w:w="2900"/>
            <w:tcBorders>
              <w:top w:val="single" w:color="cccccc" w:sz="4"/>
              <w:left w:val="single" w:color="cccccc" w:sz="4"/>
              <w:bottom w:val="single" w:color="cccccc" w:sz="4"/>
              <w:right w:val="single" w:color="cccccc" w:sz="4"/>
            </w:tcBorders>
            <w:shd w:fill="F0EBF8" w:val="clear"/>
            <w:tcMar>
              <w:top w:type="dxa" w:w="100"/>
              <w:left w:type="dxa" w:w="140"/>
              <w:bottom w:type="dxa" w:w="100"/>
              <w:right w:type="dxa" w:w="140"/>
            </w:tcMar>
          </w:tcPr>
          <w:p>
            <w:r>
              <w:rPr>
                <w:rFonts w:ascii="Arial" w:cs="Arial" w:eastAsia="Arial" w:hAnsi="Arial"/>
                <w:b/>
                <w:bCs/>
                <w:color w:val="2C1654"/>
                <w:sz w:val="20"/>
                <w:szCs w:val="20"/>
              </w:rPr>
              <w:t xml:space="preserve">Countersigning:</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Inspector of Police / Station House Officer [Demo]</w:t>
            </w:r>
          </w:p>
        </w:tc>
      </w:tr>
    </w:tbl>
    <w:p>
      <w:pPr>
        <w:spacing w:after="80" w:before="30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none"/>
              <w:left w:val="none"/>
              <w:bottom w:val="none"/>
              <w:right w:val="single" w:color="cccccc" w:sz="4"/>
            </w:tcBorders>
            <w:tcMar>
              <w:top w:type="dxa" w:w="100"/>
              <w:left w:type="dxa" w:w="140"/>
              <w:bottom w:type="dxa" w:w="220"/>
              <w:right w:type="dxa" w:w="140"/>
            </w:tcMar>
          </w:tcPr>
          <w:p>
            <w:r>
              <w:rPr>
                <w:rFonts w:ascii="Arial" w:cs="Arial" w:eastAsia="Arial" w:hAnsi="Arial"/>
                <w:b/>
                <w:bCs/>
                <w:color w:val="2C1654"/>
                <w:sz w:val="20"/>
                <w:szCs w:val="20"/>
              </w:rPr>
              <w:t xml:space="preserve">Complainant / Reporting Officer:</w:t>
            </w:r>
          </w:p>
          <w:p>
            <w:pPr>
              <w:spacing w:before="560"/>
            </w:pPr>
            <w:r>
              <w:rPr>
                <w:rFonts w:ascii="Arial" w:cs="Arial" w:eastAsia="Arial" w:hAnsi="Arial"/>
                <w:color w:val="888888"/>
                <w:sz w:val="20"/>
                <w:szCs w:val="20"/>
              </w:rPr>
              <w:t xml:space="preserve">Signature: ________________________</w:t>
            </w:r>
          </w:p>
          <w:p>
            <w:r>
              <w:rPr>
                <w:rFonts w:ascii="Arial" w:cs="Arial" w:eastAsia="Arial" w:hAnsi="Arial"/>
                <w:color w:val="555555"/>
                <w:sz w:val="18"/>
                <w:szCs w:val="18"/>
              </w:rPr>
              <w:t xml:space="preserve">Name: [Store Owner / Staff — Demo]</w:t>
            </w:r>
          </w:p>
          <w:p>
            <w:r>
              <w:rPr>
                <w:rFonts w:ascii="Arial" w:cs="Arial" w:eastAsia="Arial" w:hAnsi="Arial"/>
                <w:color w:val="555555"/>
                <w:sz w:val="18"/>
                <w:szCs w:val="18"/>
              </w:rPr>
              <w:t xml:space="preserve">Date: 12 March 2025</w:t>
            </w:r>
          </w:p>
        </w:tc>
        <w:tc>
          <w:tcPr>
            <w:tcW w:type="dxa" w:w="4853"/>
            <w:tcBorders>
              <w:top w:val="none"/>
              <w:left w:val="single" w:color="cccccc" w:sz="4"/>
              <w:bottom w:val="none"/>
              <w:right w:val="none"/>
            </w:tcBorders>
            <w:tcMar>
              <w:top w:type="dxa" w:w="100"/>
              <w:left w:type="dxa" w:w="140"/>
              <w:bottom w:type="dxa" w:w="220"/>
              <w:right w:type="dxa" w:w="140"/>
            </w:tcMar>
          </w:tcPr>
          <w:p>
            <w:r>
              <w:rPr>
                <w:rFonts w:ascii="Arial" w:cs="Arial" w:eastAsia="Arial" w:hAnsi="Arial"/>
                <w:b/>
                <w:bCs/>
                <w:color w:val="2C1654"/>
                <w:sz w:val="20"/>
                <w:szCs w:val="20"/>
              </w:rPr>
              <w:t xml:space="preserve">Received &amp; Registered by:</w:t>
            </w:r>
          </w:p>
          <w:p>
            <w:pPr>
              <w:spacing w:before="560"/>
            </w:pPr>
            <w:r>
              <w:rPr>
                <w:rFonts w:ascii="Arial" w:cs="Arial" w:eastAsia="Arial" w:hAnsi="Arial"/>
                <w:color w:val="888888"/>
                <w:sz w:val="20"/>
                <w:szCs w:val="20"/>
              </w:rPr>
              <w:t xml:space="preserve">Signature: ________________________</w:t>
            </w:r>
          </w:p>
          <w:p>
            <w:r>
              <w:rPr>
                <w:rFonts w:ascii="Arial" w:cs="Arial" w:eastAsia="Arial" w:hAnsi="Arial"/>
                <w:color w:val="555555"/>
                <w:sz w:val="18"/>
                <w:szCs w:val="18"/>
              </w:rPr>
              <w:t xml:space="preserve">Name: Sub-Inspector [Demo]</w:t>
            </w:r>
          </w:p>
          <w:p>
            <w:r>
              <w:rPr>
                <w:rFonts w:ascii="Arial" w:cs="Arial" w:eastAsia="Arial" w:hAnsi="Arial"/>
                <w:color w:val="555555"/>
                <w:sz w:val="18"/>
                <w:szCs w:val="18"/>
              </w:rPr>
              <w:t xml:space="preserve">Kochi Downtown Police Station</w:t>
            </w:r>
          </w:p>
          <w:p>
            <w:r>
              <w:rPr>
                <w:rFonts w:ascii="Arial" w:cs="Arial" w:eastAsia="Arial" w:hAnsi="Arial"/>
                <w:color w:val="555555"/>
                <w:sz w:val="18"/>
                <w:szCs w:val="18"/>
              </w:rPr>
              <w:t xml:space="preserve">Badge No: [DEMO]</w:t>
            </w:r>
          </w:p>
        </w:tc>
      </w:tr>
    </w:tbl>
    <w:p>
      <w:pPr>
        <w:spacing w:after="60" w:before="22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FFF3CD" w:val="clear"/>
            <w:tcMar>
              <w:top w:type="dxa" w:w="100"/>
              <w:left w:type="dxa" w:w="200"/>
              <w:bottom w:type="dxa" w:w="100"/>
              <w:right w:type="dxa" w:w="200"/>
            </w:tcMar>
          </w:tcPr>
          <w:p>
            <w:pPr>
              <w:jc w:val="center"/>
            </w:pPr>
            <w:r>
              <w:rPr>
                <w:rFonts w:ascii="Arial" w:cs="Arial" w:eastAsia="Arial" w:hAnsi="Arial"/>
                <w:b/>
                <w:bCs/>
                <w:color w:val="856404"/>
                <w:sz w:val="20"/>
                <w:szCs w:val="20"/>
              </w:rPr>
              <w:t xml:space="preserve">⚠  DISCLAIMER  ⚠</w:t>
            </w:r>
          </w:p>
          <w:p>
            <w:pPr>
              <w:spacing w:before="60"/>
              <w:jc w:val="center"/>
            </w:pPr>
            <w:r>
              <w:rPr>
                <w:rFonts w:ascii="Arial" w:cs="Arial" w:eastAsia="Arial" w:hAnsi="Arial"/>
                <w:i/>
                <w:iCs/>
                <w:color w:val="856404"/>
                <w:sz w:val="18"/>
                <w:szCs w:val="18"/>
              </w:rPr>
              <w:t xml:space="preserve">This is a demonstration FIR generated for case illustration purposes only. All names and identifying details have been withheld or replaced with placeholders. This document does not constitute a real legal proceeding.</w:t>
            </w:r>
          </w:p>
        </w:tc>
      </w:tr>
    </w:tbl>
    <w:sectPr>
      <w:headerReference w:type="default" r:id="rId7"/>
      <w:footerReference w:type="default" r:id="rId8"/>
      <w:pgSz w:w="11906" w:h="16838" w:orient="portrait"/>
      <w:pgMar w:top="9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spacing w:before="80"/>
      <w:jc w:val="center"/>
    </w:pPr>
    <w:r>
      <w:rPr>
        <w:rFonts w:ascii="Arial" w:cs="Arial" w:eastAsia="Arial" w:hAnsi="Arial"/>
        <w:color w:val="888888"/>
        <w:sz w:val="16"/>
        <w:szCs w:val="16"/>
      </w:rPr>
      <w:t xml:space="preserve">FIR No. KRP-2025-0312-RB01  |  Kochi Downtown Police Station  |  Kerala Police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none"/>
            <w:left w:val="none"/>
            <w:bottom w:val="single" w:color="C9A84C" w:sz="12"/>
            <w:right w:val="none"/>
          </w:tcBorders>
          <w:shd w:fill="2C1654" w:val="clear"/>
          <w:tcMar>
            <w:top w:type="dxa" w:w="120"/>
            <w:left w:type="dxa" w:w="200"/>
            <w:bottom w:type="dxa" w:w="110"/>
            <w:right w:type="dxa" w:w="200"/>
          </w:tcMar>
        </w:tcPr>
        <w:p>
          <w:pPr>
            <w:jc w:val="center"/>
          </w:pPr>
          <w:r>
            <w:rPr>
              <w:rFonts w:ascii="Arial" w:cs="Arial" w:eastAsia="Arial" w:hAnsi="Arial"/>
              <w:b/>
              <w:bCs/>
              <w:color w:val="FFFFFF"/>
              <w:sz w:val="30"/>
              <w:szCs w:val="30"/>
            </w:rPr>
            <w:t xml:space="preserve">KERALA POLICE — ERNAKULAM DISTRICT</w:t>
          </w:r>
        </w:p>
        <w:p>
          <w:pPr>
            <w:jc w:val="center"/>
          </w:pPr>
          <w:r>
            <w:rPr>
              <w:rFonts w:ascii="Arial" w:cs="Arial" w:eastAsia="Arial" w:hAnsi="Arial"/>
              <w:b/>
              <w:bCs/>
              <w:color w:val="C9A84C"/>
              <w:sz w:val="24"/>
              <w:szCs w:val="24"/>
            </w:rPr>
            <w:t xml:space="preserve">FIRST INFORMATION REPORT (F.I.R.)</w:t>
          </w:r>
        </w:p>
        <w:p>
          <w:pPr>
            <w:jc w:val="center"/>
          </w:pPr>
          <w:r>
            <w:rPr>
              <w:rFonts w:ascii="Arial" w:cs="Arial" w:eastAsia="Arial" w:hAnsi="Arial"/>
              <w:i/>
              <w:iCs/>
              <w:color w:val="C4AADD"/>
              <w:sz w:val="17"/>
              <w:szCs w:val="17"/>
            </w:rPr>
            <w:t xml:space="preserve">Under Section 154 Cr.P.C.  |  Indian Penal Code / Bharatiya Nyaya Sanhita, 2023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2026-03-13T03:30:36.545Z</dcterms:created>
  <dcterms:modified xsi:type="dcterms:W3CDTF">2026-03-13T03:30:36.546Z</dcterms:modified>
</cp:coreProperties>
</file>

<file path=docProps/custom.xml><?xml version="1.0" encoding="utf-8"?>
<Properties xmlns="http://schemas.openxmlformats.org/officeDocument/2006/custom-properties" xmlns:vt="http://schemas.openxmlformats.org/officeDocument/2006/docPropsVTypes"/>
</file>