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Индивидуальный предприниматель </w:t>
      </w:r>
      <w:r>
        <w:rPr>
          <w:b/>
        </w:rPr>
        <w:t xml:space="preserve">Индивидуальный предприниматель Нечаев Сергей Владиславович</w:t>
      </w:r>
      <w:r>
        <w:rPr>
          <w:b/>
        </w:rPr>
        <w:t xml:space="preserve"> (ИНН </w:t>
      </w:r>
      <w:r>
        <w:rPr>
          <w:b/>
        </w:rPr>
        <w:t xml:space="preserve">undefined</w:t>
      </w:r>
      <w:r>
        <w:rPr>
          <w:b/>
        </w:rPr>
        <w:t xml:space="preserve"> ОГРН ИП </w:t>
      </w:r>
      <w:r>
        <w:rPr>
          <w:b/>
        </w:rPr>
        <w:t xml:space="preserve">undefined</w:t>
      </w:r>
      <w:r>
        <w:rPr>
          <w:b/>
        </w:rPr>
        <w:t xml:space="preserve">),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4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4"/>
        <w:gridCol w:w="6256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«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 по «</w:t>
            </w:r>
            <w:r>
              <w:rPr>
                <w:sz w:val="20"/>
                <w:szCs w:val="20"/>
              </w:rPr>
              <w:t xml:space="preserve">31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817245</wp:posOffset>
            </wp:positionV>
            <wp:extent cx="1473200" cy="1460500"/>
            <wp:effectExtent l="0" t="0" r="0" b="0"/>
            <wp:wrapNone/>
            <wp:docPr id="1" name="Рисунок 2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1"/>
        <w:gridCol w:w="2451"/>
        <w:gridCol w:w="2504"/>
        <w:gridCol w:w="2490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596265</wp:posOffset>
                  </wp:positionH>
                  <wp:positionV relativeFrom="paragraph">
                    <wp:posOffset>73025</wp:posOffset>
                  </wp:positionV>
                  <wp:extent cx="1282700" cy="1318260"/>
                  <wp:effectExtent l="0" t="0" r="0" b="0"/>
                  <wp:wrapNone/>
                  <wp:docPr id="2" name="Рисунок 3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ИП </w:t>
            </w:r>
            <w:r>
              <w:rPr>
                <w:sz w:val="20"/>
                <w:szCs w:val="20"/>
              </w:rPr>
              <w:t>_____________________</w:t>
            </w:r>
          </w:p>
        </w:tc>
      </w:tr>
      <w:tr>
        <w:trPr/>
        <w:tc>
          <w:tcPr>
            <w:tcW w:w="250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 при наличии)</w:t>
            </w:r>
          </w:p>
        </w:tc>
        <w:tc>
          <w:tcPr>
            <w:tcW w:w="249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8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8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bidi w:val="0"/>
      <w:spacing w:lineRule="auto" w:line="276" w:before="0" w:after="200"/>
      <w:ind w:firstLine="720"/>
      <w:jc w:val="left"/>
    </w:pPr>
    <w:rPr>
      <w:rFonts w:ascii="Arial" w:hAnsi="Arial" w:cs="Arial" w:eastAsia="Times New Roman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ru-RU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264635E-912E-40B2-942A-25FFA23C34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1</Pages>
  <Words>240</Words>
  <Characters>1691</Characters>
  <CharactersWithSpaces>1979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2021-06-30T06:07:00Z</dcterms:created>
  <dc:creator>Малейкин М.А.;89377916789</dc:creator>
  <dc:description/>
  <dc:language>en-US</dc:language>
  <cp:lastModifiedBy/>
  <cp:lastPrinted>2021-06-30T06:23:00Z</cp:lastPrinted>
  <dcterms:modified xsi:type="dcterms:W3CDTF">2021-07-07T13:58:27Z</dcterms:modified>
  <cp:revision>7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