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val="false"/>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tbl>
      <w:tblPr>
        <w:tblStyle w:val="Table1"/>
        <w:tblW w:w="10988" w:type="dxa"/>
        <w:jc w:val="left"/>
        <w:tblInd w:w="0" w:type="dxa"/>
        <w:tblCellMar>
          <w:top w:w="0" w:type="dxa"/>
          <w:left w:w="108" w:type="dxa"/>
          <w:bottom w:w="0" w:type="dxa"/>
          <w:right w:w="108" w:type="dxa"/>
        </w:tblCellMar>
        <w:tblLook w:val="0400"/>
      </w:tblPr>
      <w:tblGrid>
        <w:gridCol w:w="10988"/>
      </w:tblGrid>
      <w:tr>
        <w:trPr/>
        <w:tc>
          <w:tcPr>
            <w:tcW w:w="10988" w:type="dxa"/>
            <w:tcBorders>
              <w:top w:val="single" w:sz="4" w:space="0" w:color="000000"/>
              <w:left w:val="single" w:sz="4" w:space="0" w:color="000000"/>
              <w:bottom w:val="single" w:sz="4" w:space="0" w:color="000000"/>
              <w:right w:val="single" w:sz="4" w:space="0" w:color="000000"/>
            </w:tcBorders>
            <w:shd w:fill="F2F2F2" w:val="clear"/>
          </w:tcPr>
          <w:p>
            <w:pPr>
              <w:pStyle w:val="Normal"/>
              <w:spacing w:lineRule="auto" w:line="240" w:before="0" w:after="0"/>
              <w:jc w:val="center"/>
              <w:rPr>
                <w:b/>
                <w:b/>
                <w:sz w:val="32"/>
                <w:szCs w:val="32"/>
              </w:rPr>
            </w:pPr>
            <w:r>
              <w:rPr>
                <w:b/>
                <w:sz w:val="32"/>
                <w:szCs w:val="32"/>
              </w:rPr>
            </w:r>
          </w:p>
          <w:p>
            <w:pPr>
              <w:pStyle w:val="Normal"/>
              <w:spacing w:lineRule="auto" w:line="240" w:before="0" w:after="0"/>
              <w:jc w:val="center"/>
              <w:rPr>
                <w:b/>
                <w:b/>
                <w:sz w:val="32"/>
                <w:szCs w:val="32"/>
              </w:rPr>
            </w:pPr>
            <w:r>
              <w:rPr>
                <w:b/>
                <w:sz w:val="32"/>
                <w:szCs w:val="32"/>
              </w:rPr>
              <w:t>УСЛОВИЯ ПРОВЕДЕНИЯ АКЦИИ</w:t>
            </w:r>
          </w:p>
          <w:p>
            <w:pPr>
              <w:pStyle w:val="Normal"/>
              <w:spacing w:lineRule="auto" w:line="240" w:before="0" w:after="0"/>
              <w:rPr>
                <w:sz w:val="32"/>
                <w:szCs w:val="32"/>
              </w:rPr>
            </w:pPr>
            <w:r>
              <w:rPr>
                <w:sz w:val="32"/>
                <w:szCs w:val="32"/>
              </w:rPr>
            </w:r>
          </w:p>
        </w:tc>
      </w:tr>
    </w:tbl>
    <w:p>
      <w:pPr>
        <w:pStyle w:val="Normal"/>
        <w:spacing w:lineRule="auto" w:line="240" w:before="0" w:after="0"/>
        <w:jc w:val="both"/>
        <w:rPr>
          <w:sz w:val="20"/>
          <w:szCs w:val="20"/>
        </w:rPr>
      </w:pPr>
      <w:r>
        <w:rPr>
          <w:sz w:val="20"/>
          <w:szCs w:val="20"/>
        </w:rPr>
      </w:r>
    </w:p>
    <w:p>
      <w:pPr>
        <w:pStyle w:val="Normal"/>
        <w:pBdr/>
        <w:spacing w:lineRule="auto" w:line="240" w:before="0" w:after="0"/>
        <w:jc w:val="both"/>
        <w:rPr>
          <w:color w:val="000000"/>
          <w:sz w:val="20"/>
          <w:szCs w:val="20"/>
        </w:rPr>
      </w:pPr>
      <w:r>
        <w:rPr>
          <w:color w:val="000000"/>
          <w:sz w:val="20"/>
          <w:szCs w:val="20"/>
        </w:rPr>
        <w:t xml:space="preserve">Информация об Акции размещается в Приложении / на Сайте AdWise (далее совокупно – Приложение), использование которого регулируется пользовательским соглашением, размещенном по ссылке: </w:t>
      </w:r>
      <w:hyperlink r:id="rId2">
        <w:r>
          <w:rPr>
            <w:color w:val="22478B"/>
            <w:sz w:val="20"/>
            <w:szCs w:val="20"/>
          </w:rPr>
          <w:t>https://adwise.cards/user-agreement</w:t>
        </w:r>
      </w:hyperlink>
      <w:r>
        <w:rPr>
          <w:color w:val="000000"/>
          <w:sz w:val="20"/>
          <w:szCs w:val="20"/>
        </w:rPr>
        <w:t xml:space="preserve"> и приложениями к нему (далее совокупно – Соглашение). Соглашение является приложением к настоящим Условиям проведения акции (далее – Условия).</w:t>
      </w:r>
    </w:p>
    <w:p>
      <w:pPr>
        <w:pStyle w:val="Normal"/>
        <w:keepNext w:val="false"/>
        <w:keepLines w:val="false"/>
        <w:widowControl/>
        <w:pBdr/>
        <w:shd w:val="clear" w:fill="auto"/>
        <w:spacing w:lineRule="auto" w:line="24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0"/>
          <w:sz w:val="20"/>
          <w:szCs w:val="20"/>
          <w:u w:val="none"/>
          <w:vertAlign w:val="baseline"/>
        </w:rPr>
      </w:pP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r>
    </w:p>
    <w:p>
      <w:pPr>
        <w:pStyle w:val="Normal"/>
        <w:keepNext w:val="false"/>
        <w:keepLines w:val="false"/>
        <w:widowControl/>
        <w:numPr>
          <w:ilvl w:val="0"/>
          <w:numId w:val="1"/>
        </w:numPr>
        <w:pBdr/>
        <w:shd w:val="clear" w:fill="auto"/>
        <w:spacing w:lineRule="auto" w:line="240" w:before="0" w:after="0"/>
        <w:ind w:left="0" w:right="0" w:hanging="0"/>
        <w:jc w:val="left"/>
        <w:rPr>
          <w:i w:val="false"/>
          <w:i w:val="false"/>
          <w:caps w:val="false"/>
          <w:smallCaps w:val="false"/>
          <w:strike w:val="false"/>
          <w:dstrike w:val="false"/>
          <w:color w:val="000000"/>
          <w:position w:val="0"/>
          <w:sz w:val="24"/>
          <w:sz w:val="20"/>
          <w:szCs w:val="20"/>
          <w:vertAlign w:val="baseline"/>
        </w:rPr>
      </w:pP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ИНФОРМАЦИЯ ОБ АКЦИИ:</w:t>
      </w:r>
    </w:p>
    <w:p>
      <w:pPr>
        <w:pStyle w:val="Normal"/>
        <w:pBdr/>
        <w:spacing w:lineRule="auto" w:line="240" w:before="0" w:after="0"/>
        <w:jc w:val="both"/>
        <w:rPr>
          <w:color w:val="000000"/>
          <w:sz w:val="20"/>
          <w:szCs w:val="20"/>
        </w:rPr>
      </w:pPr>
      <w:r>
        <w:rPr>
          <w:color w:val="000000"/>
          <w:sz w:val="20"/>
          <w:szCs w:val="20"/>
        </w:rPr>
      </w:r>
    </w:p>
    <w:tbl>
      <w:tblPr>
        <w:tblStyle w:val="Table2"/>
        <w:tblW w:w="10773" w:type="dxa"/>
        <w:jc w:val="left"/>
        <w:tblInd w:w="0" w:type="dxa"/>
        <w:tblCellMar>
          <w:top w:w="0" w:type="dxa"/>
          <w:left w:w="108" w:type="dxa"/>
          <w:bottom w:w="0" w:type="dxa"/>
          <w:right w:w="108" w:type="dxa"/>
        </w:tblCellMar>
        <w:tblLook w:val="0400"/>
      </w:tblPr>
      <w:tblGrid>
        <w:gridCol w:w="708"/>
        <w:gridCol w:w="4254"/>
        <w:gridCol w:w="5811"/>
      </w:tblGrid>
      <w:tr>
        <w:trPr/>
        <w:tc>
          <w:tcPr>
            <w:tcW w:w="708" w:type="dxa"/>
            <w:tcBorders>
              <w:top w:val="single" w:sz="4" w:space="0" w:color="000000"/>
              <w:left w:val="single" w:sz="4" w:space="0" w:color="000000"/>
              <w:bottom w:val="single" w:sz="4" w:space="0" w:color="000000"/>
              <w:right w:val="single" w:sz="4" w:space="0" w:color="000000"/>
            </w:tcBorders>
            <w:shd w:fill="F2F2F2" w:val="clear"/>
            <w:vAlign w:val="center"/>
          </w:tcPr>
          <w:p>
            <w:pPr>
              <w:pStyle w:val="Normal"/>
              <w:keepNext w:val="false"/>
              <w:keepLines w:val="false"/>
              <w:widowControl/>
              <w:pBdr/>
              <w:shd w:val="clear" w:fill="auto"/>
              <w:spacing w:lineRule="auto" w:line="240" w:before="0" w:after="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w:t>
            </w:r>
          </w:p>
        </w:tc>
        <w:tc>
          <w:tcPr>
            <w:tcW w:w="4254" w:type="dxa"/>
            <w:tcBorders>
              <w:top w:val="single" w:sz="4" w:space="0" w:color="000000"/>
              <w:left w:val="single" w:sz="4" w:space="0" w:color="000000"/>
              <w:bottom w:val="single" w:sz="4" w:space="0" w:color="000000"/>
              <w:right w:val="single" w:sz="4" w:space="0" w:color="000000"/>
            </w:tcBorders>
            <w:shd w:fill="F2F2F2" w:val="clear"/>
            <w:vAlign w:val="center"/>
          </w:tcPr>
          <w:p>
            <w:pPr>
              <w:pStyle w:val="Normal"/>
              <w:spacing w:lineRule="auto" w:line="240" w:before="0" w:after="0"/>
              <w:jc w:val="center"/>
              <w:rPr>
                <w:b/>
                <w:b/>
                <w:color w:val="000000"/>
                <w:sz w:val="20"/>
                <w:szCs w:val="20"/>
              </w:rPr>
            </w:pPr>
            <w:r>
              <w:rPr>
                <w:b/>
                <w:color w:val="000000"/>
                <w:sz w:val="20"/>
                <w:szCs w:val="20"/>
              </w:rPr>
              <w:t>Характеристика</w:t>
            </w:r>
          </w:p>
        </w:tc>
        <w:tc>
          <w:tcPr>
            <w:tcW w:w="5811" w:type="dxa"/>
            <w:tcBorders>
              <w:top w:val="single" w:sz="4" w:space="0" w:color="000000"/>
              <w:left w:val="single" w:sz="4" w:space="0" w:color="000000"/>
              <w:bottom w:val="single" w:sz="4" w:space="0" w:color="000000"/>
              <w:right w:val="single" w:sz="4" w:space="0" w:color="000000"/>
            </w:tcBorders>
            <w:shd w:fill="F2F2F2" w:val="clear"/>
            <w:vAlign w:val="center"/>
          </w:tcPr>
          <w:p>
            <w:pPr>
              <w:pStyle w:val="Normal"/>
              <w:spacing w:lineRule="auto" w:line="240" w:before="0" w:after="0"/>
              <w:jc w:val="center"/>
              <w:rPr>
                <w:b/>
                <w:b/>
                <w:color w:val="000000"/>
                <w:sz w:val="20"/>
                <w:szCs w:val="20"/>
              </w:rPr>
            </w:pPr>
            <w:r>
              <w:rPr>
                <w:b/>
                <w:color w:val="000000"/>
                <w:sz w:val="20"/>
                <w:szCs w:val="20"/>
              </w:rPr>
              <w:t>Значение</w:t>
            </w:r>
          </w:p>
        </w:tc>
      </w:tr>
      <w:tr>
        <w:trPr/>
        <w:tc>
          <w:tcPr>
            <w:tcW w:w="708" w:type="dxa"/>
            <w:tcBorders>
              <w:top w:val="single" w:sz="4" w:space="0" w:color="000000"/>
              <w:left w:val="single" w:sz="4" w:space="0" w:color="000000"/>
              <w:bottom w:val="single" w:sz="4" w:space="0" w:color="000000"/>
              <w:right w:val="single" w:sz="4" w:space="0" w:color="000000"/>
            </w:tcBorders>
            <w:vAlign w:val="center"/>
          </w:tcPr>
          <w:p>
            <w:pPr>
              <w:pStyle w:val="Normal"/>
              <w:keepNext w:val="false"/>
              <w:keepLines w:val="false"/>
              <w:widowControl/>
              <w:numPr>
                <w:ilvl w:val="1"/>
                <w:numId w:val="2"/>
              </w:numPr>
              <w:pBdr/>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vertAlign w:val="baseline"/>
              </w:rPr>
            </w:pPr>
            <w:r>
              <w:rPr>
                <w:rFonts w:eastAsia="Times New Roman" w:cs="Times New Roman"/>
                <w:b w:val="false"/>
                <w:i w:val="false"/>
                <w:caps w:val="false"/>
                <w:smallCaps w:val="false"/>
                <w:strike w:val="false"/>
                <w:dstrike w:val="false"/>
                <w:color w:val="000000"/>
                <w:position w:val="0"/>
                <w:sz w:val="20"/>
                <w:sz w:val="20"/>
                <w:szCs w:val="20"/>
                <w:shd w:fill="auto" w:val="clear"/>
                <w:vertAlign w:val="baseline"/>
              </w:rPr>
            </w:r>
          </w:p>
        </w:tc>
        <w:tc>
          <w:tcPr>
            <w:tcW w:w="425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left"/>
              <w:rPr/>
            </w:pPr>
            <w:r>
              <w:rPr>
                <w:color w:val="000000"/>
                <w:sz w:val="20"/>
                <w:szCs w:val="20"/>
              </w:rPr>
              <w:t xml:space="preserve">Наименование Акции </w:t>
            </w:r>
            <w:r>
              <w:rPr>
                <w:rStyle w:val="FootnoteAnchor"/>
                <w:color w:val="000000"/>
                <w:sz w:val="20"/>
                <w:szCs w:val="20"/>
                <w:vertAlign w:val="superscript"/>
              </w:rPr>
              <w:footnoteReference w:id="2"/>
            </w:r>
            <w:r>
              <w:rPr>
                <w:color w:val="000000"/>
                <w:sz w:val="20"/>
                <w:szCs w:val="20"/>
              </w:rPr>
              <w:t>:</w:t>
            </w:r>
          </w:p>
        </w:tc>
        <w:tc>
          <w:tcPr>
            <w:tcW w:w="5811" w:type="dxa"/>
            <w:tcBorders>
              <w:top w:val="single" w:sz="4" w:space="0" w:color="000000"/>
              <w:left w:val="single" w:sz="4" w:space="0" w:color="000000"/>
              <w:bottom w:val="single" w:sz="4" w:space="0" w:color="000000"/>
              <w:right w:val="single" w:sz="4" w:space="0" w:color="000000"/>
            </w:tcBorders>
          </w:tcPr>
          <w:p>
            <w:pPr>
              <w:pStyle w:val="Normal"/>
              <w:spacing w:lineRule="auto" w:line="240" w:before="171" w:after="171"/>
              <w:jc w:val="left"/>
              <w:rPr>
                <w:color w:val="000000"/>
                <w:sz w:val="20"/>
                <w:szCs w:val="20"/>
              </w:rPr>
            </w:pPr>
            <w:r>
              <w:rPr>
                <w:color w:val="000000"/>
                <w:sz w:val="20"/>
                <w:szCs w:val="20"/>
              </w:rPr>
              <w:t xml:space="preserve">фывфыв</w:t>
            </w:r>
          </w:p>
        </w:tc>
      </w:tr>
      <w:tr>
        <w:trPr/>
        <w:tc>
          <w:tcPr>
            <w:tcW w:w="708" w:type="dxa"/>
            <w:tcBorders>
              <w:top w:val="single" w:sz="4" w:space="0" w:color="000000"/>
              <w:left w:val="single" w:sz="4" w:space="0" w:color="000000"/>
              <w:bottom w:val="single" w:sz="4" w:space="0" w:color="000000"/>
              <w:right w:val="single" w:sz="4" w:space="0" w:color="000000"/>
            </w:tcBorders>
            <w:vAlign w:val="center"/>
          </w:tcPr>
          <w:p>
            <w:pPr>
              <w:pStyle w:val="Normal"/>
              <w:keepNext w:val="false"/>
              <w:keepLines w:val="false"/>
              <w:widowControl/>
              <w:numPr>
                <w:ilvl w:val="1"/>
                <w:numId w:val="2"/>
              </w:numPr>
              <w:pBdr/>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vertAlign w:val="baseline"/>
              </w:rPr>
            </w:pPr>
            <w:r>
              <w:rPr>
                <w:rFonts w:eastAsia="Times New Roman" w:cs="Times New Roman"/>
                <w:b w:val="false"/>
                <w:i w:val="false"/>
                <w:caps w:val="false"/>
                <w:smallCaps w:val="false"/>
                <w:strike w:val="false"/>
                <w:dstrike w:val="false"/>
                <w:color w:val="000000"/>
                <w:position w:val="0"/>
                <w:sz w:val="20"/>
                <w:sz w:val="20"/>
                <w:szCs w:val="20"/>
                <w:shd w:fill="auto" w:val="clear"/>
                <w:vertAlign w:val="baseline"/>
              </w:rPr>
            </w:r>
          </w:p>
        </w:tc>
        <w:tc>
          <w:tcPr>
            <w:tcW w:w="425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left"/>
              <w:rPr/>
            </w:pPr>
            <w:r>
              <w:rPr>
                <w:color w:val="000000"/>
                <w:sz w:val="20"/>
                <w:szCs w:val="20"/>
              </w:rPr>
              <w:t xml:space="preserve">Порядковый номер Акции </w:t>
            </w:r>
            <w:r>
              <w:rPr>
                <w:rStyle w:val="FootnoteAnchor"/>
                <w:color w:val="000000"/>
                <w:sz w:val="20"/>
                <w:szCs w:val="20"/>
                <w:vertAlign w:val="superscript"/>
              </w:rPr>
              <w:footnoteReference w:id="3"/>
            </w:r>
            <w:r>
              <w:rPr>
                <w:color w:val="000000"/>
                <w:sz w:val="20"/>
                <w:szCs w:val="20"/>
              </w:rPr>
              <w:t>:</w:t>
            </w:r>
          </w:p>
        </w:tc>
        <w:tc>
          <w:tcPr>
            <w:tcW w:w="581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71" w:after="171"/>
              <w:jc w:val="left"/>
              <w:rPr>
                <w:color w:val="000000"/>
                <w:sz w:val="20"/>
                <w:szCs w:val="20"/>
              </w:rPr>
            </w:pPr>
            <w:r>
              <w:rPr>
                <w:color w:val="000000"/>
                <w:sz w:val="20"/>
                <w:szCs w:val="20"/>
              </w:rPr>
              <w:t xml:space="preserve">00040313</w:t>
            </w:r>
            <w:r>
              <w:rPr>
                <w:color w:val="000000"/>
                <w:sz w:val="20"/>
                <w:szCs w:val="20"/>
              </w:rPr>
              <w:t/>
            </w:r>
            <w:r>
              <w:rPr>
                <w:color w:val="000000"/>
                <w:sz w:val="20"/>
                <w:szCs w:val="20"/>
              </w:rPr>
              <w:t/>
            </w:r>
          </w:p>
        </w:tc>
      </w:tr>
      <w:tr>
        <w:trPr/>
        <w:tc>
          <w:tcPr>
            <w:tcW w:w="708" w:type="dxa"/>
            <w:tcBorders>
              <w:top w:val="single" w:sz="4" w:space="0" w:color="000000"/>
              <w:left w:val="single" w:sz="4" w:space="0" w:color="000000"/>
              <w:bottom w:val="single" w:sz="4" w:space="0" w:color="000000"/>
              <w:right w:val="single" w:sz="4" w:space="0" w:color="000000"/>
            </w:tcBorders>
            <w:vAlign w:val="center"/>
          </w:tcPr>
          <w:p>
            <w:pPr>
              <w:pStyle w:val="Normal"/>
              <w:keepNext w:val="false"/>
              <w:keepLines w:val="false"/>
              <w:widowControl/>
              <w:numPr>
                <w:ilvl w:val="1"/>
                <w:numId w:val="2"/>
              </w:numPr>
              <w:pBdr/>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vertAlign w:val="baseline"/>
              </w:rPr>
            </w:pPr>
            <w:r>
              <w:rPr>
                <w:rFonts w:eastAsia="Times New Roman" w:cs="Times New Roman"/>
                <w:b w:val="false"/>
                <w:i w:val="false"/>
                <w:caps w:val="false"/>
                <w:smallCaps w:val="false"/>
                <w:strike w:val="false"/>
                <w:dstrike w:val="false"/>
                <w:color w:val="000000"/>
                <w:position w:val="0"/>
                <w:sz w:val="20"/>
                <w:sz w:val="20"/>
                <w:szCs w:val="20"/>
                <w:shd w:fill="auto" w:val="clear"/>
                <w:vertAlign w:val="baseline"/>
              </w:rPr>
            </w:r>
          </w:p>
        </w:tc>
        <w:tc>
          <w:tcPr>
            <w:tcW w:w="425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left"/>
              <w:rPr/>
            </w:pPr>
            <w:r>
              <w:rPr>
                <w:color w:val="000000"/>
                <w:sz w:val="20"/>
                <w:szCs w:val="20"/>
              </w:rPr>
              <w:t>URL-ссылка на Акцию в Приложении:</w:t>
            </w:r>
          </w:p>
        </w:tc>
        <w:tc>
          <w:tcPr>
            <w:tcW w:w="581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71" w:after="171"/>
              <w:jc w:val="left"/>
              <w:rPr>
                <w:color w:val="000000"/>
                <w:sz w:val="20"/>
                <w:szCs w:val="20"/>
              </w:rPr>
            </w:pPr>
            <w:r>
              <w:rPr>
                <w:color w:val="000000"/>
                <w:sz w:val="20"/>
                <w:szCs w:val="20"/>
              </w:rPr>
              <w:t xml:space="preserve">https://adwise.cards/5fc159351da4ab00284478c4</w:t>
            </w:r>
          </w:p>
        </w:tc>
      </w:tr>
      <w:tr>
        <w:trPr/>
        <w:tc>
          <w:tcPr>
            <w:tcW w:w="708" w:type="dxa"/>
            <w:tcBorders>
              <w:top w:val="single" w:sz="4" w:space="0" w:color="000000"/>
              <w:left w:val="single" w:sz="4" w:space="0" w:color="000000"/>
              <w:bottom w:val="single" w:sz="4" w:space="0" w:color="000000"/>
              <w:right w:val="single" w:sz="4" w:space="0" w:color="000000"/>
            </w:tcBorders>
            <w:vAlign w:val="center"/>
          </w:tcPr>
          <w:p>
            <w:pPr>
              <w:pStyle w:val="Normal"/>
              <w:keepNext w:val="false"/>
              <w:keepLines w:val="false"/>
              <w:widowControl/>
              <w:numPr>
                <w:ilvl w:val="1"/>
                <w:numId w:val="2"/>
              </w:numPr>
              <w:pBdr/>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vertAlign w:val="baseline"/>
              </w:rPr>
            </w:pPr>
            <w:r>
              <w:rPr>
                <w:rFonts w:eastAsia="Times New Roman" w:cs="Times New Roman"/>
                <w:b w:val="false"/>
                <w:i w:val="false"/>
                <w:caps w:val="false"/>
                <w:smallCaps w:val="false"/>
                <w:strike w:val="false"/>
                <w:dstrike w:val="false"/>
                <w:color w:val="000000"/>
                <w:position w:val="0"/>
                <w:sz w:val="20"/>
                <w:sz w:val="20"/>
                <w:szCs w:val="20"/>
                <w:shd w:fill="auto" w:val="clear"/>
                <w:vertAlign w:val="baseline"/>
              </w:rPr>
            </w:r>
          </w:p>
        </w:tc>
        <w:tc>
          <w:tcPr>
            <w:tcW w:w="425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left"/>
              <w:rPr/>
            </w:pPr>
            <w:r>
              <w:rPr>
                <w:color w:val="000000"/>
                <w:sz w:val="20"/>
                <w:szCs w:val="20"/>
              </w:rPr>
              <w:t xml:space="preserve">Организатор Акции (далее – Бизнес) </w:t>
            </w:r>
            <w:r>
              <w:rPr>
                <w:rStyle w:val="FootnoteAnchor"/>
                <w:color w:val="000000"/>
                <w:sz w:val="20"/>
                <w:szCs w:val="20"/>
                <w:vertAlign w:val="superscript"/>
              </w:rPr>
              <w:footnoteReference w:id="4"/>
            </w:r>
            <w:r>
              <w:rPr>
                <w:color w:val="000000"/>
                <w:sz w:val="20"/>
                <w:szCs w:val="20"/>
              </w:rPr>
              <w:t>:</w:t>
            </w:r>
          </w:p>
        </w:tc>
        <w:tc>
          <w:tcPr>
            <w:tcW w:w="581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71" w:after="171"/>
              <w:jc w:val="left"/>
              <w:rPr>
                <w:color w:val="000000"/>
                <w:sz w:val="20"/>
                <w:szCs w:val="20"/>
              </w:rPr>
            </w:pPr>
            <w:r>
              <w:rPr>
                <w:color w:val="000000"/>
                <w:sz w:val="20"/>
                <w:szCs w:val="20"/>
              </w:rPr>
              <w:t xml:space="preserve">ОБЩЕСТВО С ОГРАНИЧЕННОЙ ОТВЕТСТВЕННОСТЬЮ "СИТИС"</w:t>
            </w:r>
          </w:p>
        </w:tc>
      </w:tr>
      <w:tr>
        <w:trPr/>
        <w:tc>
          <w:tcPr>
            <w:tcW w:w="708" w:type="dxa"/>
            <w:tcBorders>
              <w:top w:val="single" w:sz="4" w:space="0" w:color="000000"/>
              <w:left w:val="single" w:sz="4" w:space="0" w:color="000000"/>
              <w:bottom w:val="single" w:sz="4" w:space="0" w:color="000000"/>
              <w:right w:val="single" w:sz="4" w:space="0" w:color="000000"/>
            </w:tcBorders>
            <w:vAlign w:val="center"/>
          </w:tcPr>
          <w:p>
            <w:pPr>
              <w:pStyle w:val="Normal"/>
              <w:keepNext w:val="false"/>
              <w:keepLines w:val="false"/>
              <w:widowControl/>
              <w:numPr>
                <w:ilvl w:val="1"/>
                <w:numId w:val="2"/>
              </w:numPr>
              <w:pBdr/>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vertAlign w:val="baseline"/>
              </w:rPr>
            </w:pPr>
            <w:r>
              <w:rPr>
                <w:rFonts w:eastAsia="Times New Roman" w:cs="Times New Roman"/>
                <w:b w:val="false"/>
                <w:i w:val="false"/>
                <w:caps w:val="false"/>
                <w:smallCaps w:val="false"/>
                <w:strike w:val="false"/>
                <w:dstrike w:val="false"/>
                <w:color w:val="000000"/>
                <w:position w:val="0"/>
                <w:sz w:val="20"/>
                <w:sz w:val="20"/>
                <w:szCs w:val="20"/>
                <w:shd w:fill="auto" w:val="clear"/>
                <w:vertAlign w:val="baseline"/>
              </w:rPr>
            </w:r>
          </w:p>
        </w:tc>
        <w:tc>
          <w:tcPr>
            <w:tcW w:w="425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left"/>
              <w:rPr/>
            </w:pPr>
            <w:r>
              <w:rPr>
                <w:color w:val="000000"/>
                <w:sz w:val="20"/>
                <w:szCs w:val="20"/>
              </w:rPr>
              <w:t>Телефон Бизнеса для уточнения информации:</w:t>
            </w:r>
          </w:p>
        </w:tc>
        <w:tc>
          <w:tcPr>
            <w:tcW w:w="581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71" w:after="171"/>
              <w:jc w:val="left"/>
              <w:rPr>
                <w:color w:val="000000"/>
                <w:sz w:val="20"/>
                <w:szCs w:val="20"/>
              </w:rPr>
            </w:pPr>
            <w:r>
              <w:rPr>
                <w:color w:val="000000"/>
                <w:sz w:val="20"/>
                <w:szCs w:val="20"/>
              </w:rPr>
              <w:t xml:space="preserve">+79025035478</w:t>
            </w:r>
          </w:p>
        </w:tc>
      </w:tr>
      <w:tr>
        <w:trPr/>
        <w:tc>
          <w:tcPr>
            <w:tcW w:w="708" w:type="dxa"/>
            <w:tcBorders>
              <w:top w:val="single" w:sz="4" w:space="0" w:color="000000"/>
              <w:left w:val="single" w:sz="4" w:space="0" w:color="000000"/>
              <w:bottom w:val="single" w:sz="4" w:space="0" w:color="000000"/>
              <w:right w:val="single" w:sz="4" w:space="0" w:color="000000"/>
            </w:tcBorders>
            <w:vAlign w:val="center"/>
          </w:tcPr>
          <w:p>
            <w:pPr>
              <w:pStyle w:val="Normal"/>
              <w:keepNext w:val="false"/>
              <w:keepLines w:val="false"/>
              <w:widowControl/>
              <w:numPr>
                <w:ilvl w:val="1"/>
                <w:numId w:val="2"/>
              </w:numPr>
              <w:pBdr/>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vertAlign w:val="baseline"/>
              </w:rPr>
            </w:pPr>
            <w:r>
              <w:rPr>
                <w:rFonts w:eastAsia="Times New Roman" w:cs="Times New Roman"/>
                <w:b w:val="false"/>
                <w:i w:val="false"/>
                <w:caps w:val="false"/>
                <w:smallCaps w:val="false"/>
                <w:strike w:val="false"/>
                <w:dstrike w:val="false"/>
                <w:color w:val="000000"/>
                <w:position w:val="0"/>
                <w:sz w:val="20"/>
                <w:sz w:val="20"/>
                <w:szCs w:val="20"/>
                <w:shd w:fill="auto" w:val="clear"/>
                <w:vertAlign w:val="baseline"/>
              </w:rPr>
            </w:r>
          </w:p>
        </w:tc>
        <w:tc>
          <w:tcPr>
            <w:tcW w:w="425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left"/>
              <w:rPr/>
            </w:pPr>
            <w:r>
              <w:rPr>
                <w:color w:val="000000"/>
                <w:sz w:val="20"/>
                <w:szCs w:val="20"/>
              </w:rPr>
              <w:t xml:space="preserve">Территория проведения Акции </w:t>
            </w:r>
            <w:r>
              <w:rPr>
                <w:rStyle w:val="FootnoteAnchor"/>
                <w:color w:val="000000"/>
                <w:sz w:val="20"/>
                <w:szCs w:val="20"/>
                <w:vertAlign w:val="superscript"/>
              </w:rPr>
              <w:footnoteReference w:id="5"/>
            </w:r>
            <w:r>
              <w:rPr>
                <w:color w:val="000000"/>
                <w:sz w:val="20"/>
                <w:szCs w:val="20"/>
              </w:rPr>
              <w:t>:</w:t>
            </w:r>
          </w:p>
        </w:tc>
        <w:tc>
          <w:tcPr>
            <w:tcW w:w="581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71" w:after="171"/>
              <w:jc w:val="left"/>
              <w:rPr>
                <w:color w:val="000000"/>
                <w:sz w:val="20"/>
                <w:szCs w:val="20"/>
              </w:rPr>
            </w:pPr>
            <w:r>
              <w:rPr>
                <w:color w:val="000000"/>
                <w:sz w:val="20"/>
                <w:szCs w:val="20"/>
              </w:rPr>
              <w:t xml:space="preserve">город Екатеринбург, Театральная школа Глобус</w:t>
            </w:r>
          </w:p>
        </w:tc>
      </w:tr>
      <w:tr>
        <w:trPr/>
        <w:tc>
          <w:tcPr>
            <w:tcW w:w="708" w:type="dxa"/>
            <w:tcBorders>
              <w:top w:val="single" w:sz="4" w:space="0" w:color="000000"/>
              <w:left w:val="single" w:sz="4" w:space="0" w:color="000000"/>
              <w:bottom w:val="single" w:sz="4" w:space="0" w:color="000000"/>
              <w:right w:val="single" w:sz="4" w:space="0" w:color="000000"/>
            </w:tcBorders>
            <w:vAlign w:val="center"/>
          </w:tcPr>
          <w:p>
            <w:pPr>
              <w:pStyle w:val="Normal"/>
              <w:keepNext w:val="false"/>
              <w:keepLines w:val="false"/>
              <w:widowControl/>
              <w:numPr>
                <w:ilvl w:val="1"/>
                <w:numId w:val="2"/>
              </w:numPr>
              <w:pBdr/>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vertAlign w:val="baseline"/>
              </w:rPr>
            </w:pPr>
            <w:r>
              <w:rPr>
                <w:rFonts w:eastAsia="Times New Roman" w:cs="Times New Roman"/>
                <w:b w:val="false"/>
                <w:i w:val="false"/>
                <w:caps w:val="false"/>
                <w:smallCaps w:val="false"/>
                <w:strike w:val="false"/>
                <w:dstrike w:val="false"/>
                <w:color w:val="000000"/>
                <w:position w:val="0"/>
                <w:sz w:val="20"/>
                <w:sz w:val="20"/>
                <w:szCs w:val="20"/>
                <w:shd w:fill="auto" w:val="clear"/>
                <w:vertAlign w:val="baseline"/>
              </w:rPr>
            </w:r>
          </w:p>
        </w:tc>
        <w:tc>
          <w:tcPr>
            <w:tcW w:w="425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left"/>
              <w:rPr/>
            </w:pPr>
            <w:r>
              <w:rPr>
                <w:color w:val="000000"/>
                <w:sz w:val="20"/>
                <w:szCs w:val="20"/>
              </w:rPr>
              <w:t xml:space="preserve">Срок проведения Акции </w:t>
            </w:r>
            <w:r>
              <w:rPr>
                <w:rStyle w:val="FootnoteAnchor"/>
                <w:color w:val="000000"/>
                <w:sz w:val="20"/>
                <w:szCs w:val="20"/>
                <w:vertAlign w:val="superscript"/>
              </w:rPr>
              <w:footnoteReference w:id="6"/>
            </w:r>
            <w:r>
              <w:rPr>
                <w:color w:val="000000"/>
                <w:sz w:val="20"/>
                <w:szCs w:val="20"/>
              </w:rPr>
              <w:t>:</w:t>
            </w:r>
          </w:p>
        </w:tc>
        <w:tc>
          <w:tcPr>
            <w:tcW w:w="5811" w:type="dxa"/>
            <w:tcBorders>
              <w:top w:val="single" w:sz="4" w:space="0" w:color="000000"/>
              <w:left w:val="single" w:sz="4" w:space="0" w:color="000000"/>
              <w:bottom w:val="single" w:sz="4" w:space="0" w:color="000000"/>
              <w:right w:val="single" w:sz="4" w:space="0" w:color="000000"/>
            </w:tcBorders>
            <w:vAlign w:val="center"/>
          </w:tcPr>
          <w:p>
            <w:pPr>
              <w:pStyle w:val="TextBody"/>
              <w:spacing w:lineRule="auto" w:line="240" w:before="0" w:after="200"/>
              <w:contextualSpacing/>
              <w:jc w:val="left"/>
              <w:rPr/>
            </w:pPr>
            <w:r>
              <w:rPr>
                <w:b w:val="false"/>
                <w:bCs/>
                <w:i w:val="false"/>
                <w:caps w:val="false"/>
                <w:smallCaps w:val="false"/>
                <w:color w:val="000000"/>
                <w:spacing w:val="0"/>
                <w:sz w:val="20"/>
              </w:rPr>
              <w:t xml:space="preserve">с «5» июль 2021 года </w:t>
            </w:r>
          </w:p>
          <w:p>
            <w:pPr>
              <w:pStyle w:val="TextBody"/>
              <w:spacing w:lineRule="auto" w:line="240" w:before="0" w:after="200"/>
              <w:contextualSpacing/>
              <w:jc w:val="left"/>
              <w:rPr/>
            </w:pPr>
            <w:r>
              <w:rPr>
                <w:b w:val="false"/>
                <w:i w:val="false"/>
                <w:caps w:val="false"/>
                <w:smallCaps w:val="false"/>
                <w:color w:val="000000"/>
                <w:spacing w:val="0"/>
                <w:sz w:val="20"/>
                <w:szCs w:val="20"/>
              </w:rPr>
              <w:t xml:space="preserve">по «12» июль 2021 года</w:t>
            </w:r>
          </w:p>
        </w:tc>
      </w:tr>
      <w:tr>
        <w:trPr>
          <w:trHeight w:val="240" w:hRule="atLeast"/>
        </w:trPr>
        <w:tc>
          <w:tcPr>
            <w:tcW w:w="708" w:type="dxa"/>
            <w:vMerge w:val="restart"/>
            <w:tcBorders>
              <w:top w:val="single" w:sz="4" w:space="0" w:color="000000"/>
              <w:left w:val="single" w:sz="4" w:space="0" w:color="000000"/>
              <w:bottom w:val="single" w:sz="4" w:space="0" w:color="000000"/>
              <w:right w:val="single" w:sz="4" w:space="0" w:color="000000"/>
            </w:tcBorders>
            <w:vAlign w:val="center"/>
          </w:tcPr>
          <w:p>
            <w:pPr>
              <w:pStyle w:val="Normal"/>
              <w:keepNext w:val="false"/>
              <w:keepLines w:val="false"/>
              <w:widowControl/>
              <w:numPr>
                <w:ilvl w:val="1"/>
                <w:numId w:val="2"/>
              </w:numPr>
              <w:pBdr/>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vertAlign w:val="baseline"/>
              </w:rPr>
            </w:pPr>
            <w:r>
              <w:rPr>
                <w:rFonts w:eastAsia="Times New Roman" w:cs="Times New Roman"/>
                <w:b w:val="false"/>
                <w:i w:val="false"/>
                <w:caps w:val="false"/>
                <w:smallCaps w:val="false"/>
                <w:strike w:val="false"/>
                <w:dstrike w:val="false"/>
                <w:color w:val="000000"/>
                <w:position w:val="0"/>
                <w:sz w:val="20"/>
                <w:sz w:val="20"/>
                <w:szCs w:val="20"/>
                <w:shd w:fill="auto" w:val="clear"/>
                <w:vertAlign w:val="baseline"/>
              </w:rPr>
            </w:r>
          </w:p>
        </w:tc>
        <w:tc>
          <w:tcPr>
            <w:tcW w:w="4254" w:type="dxa"/>
            <w:vMerge w:val="restart"/>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left"/>
              <w:rPr/>
            </w:pPr>
            <w:r>
              <w:rPr>
                <w:color w:val="000000"/>
                <w:sz w:val="20"/>
                <w:szCs w:val="20"/>
              </w:rPr>
              <w:t xml:space="preserve">Бонусная программа для Пользователей </w:t>
            </w:r>
            <w:r>
              <w:rPr>
                <w:rStyle w:val="FootnoteAnchor"/>
                <w:color w:val="000000"/>
                <w:sz w:val="20"/>
                <w:szCs w:val="20"/>
                <w:vertAlign w:val="superscript"/>
              </w:rPr>
              <w:footnoteReference w:id="7"/>
            </w:r>
            <w:r>
              <w:rPr>
                <w:color w:val="000000"/>
                <w:sz w:val="20"/>
                <w:szCs w:val="20"/>
              </w:rPr>
              <w:t>:</w:t>
            </w:r>
          </w:p>
        </w:tc>
        <w:tc>
          <w:tcPr>
            <w:tcW w:w="581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71" w:after="171"/>
              <w:jc w:val="left"/>
              <w:rPr/>
            </w:pPr>
            <w:r>
              <w:rPr>
                <w:color w:val="000000"/>
                <w:sz w:val="20"/>
                <w:szCs w:val="20"/>
              </w:rPr>
              <w:t xml:space="preserve">Процент (1 уровень):  </w:t>
            </w:r>
            <w:r>
              <w:rPr>
                <w:color w:val="000000"/>
                <w:sz w:val="20"/>
                <w:szCs w:val="20"/>
              </w:rPr>
              <w:t xml:space="preserve">6%</w:t>
            </w:r>
          </w:p>
        </w:tc>
      </w:tr>
      <w:tr>
        <w:trPr>
          <w:trHeight w:val="240" w:hRule="atLeast"/>
        </w:trPr>
        <w:tc>
          <w:tcPr>
            <w:tcW w:w="70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false"/>
              <w:keepLines w:val="false"/>
              <w:widowControl w:val="false"/>
              <w:pBdr/>
              <w:shd w:val="clear" w:fill="auto"/>
              <w:spacing w:lineRule="auto" w:line="276" w:before="0" w:after="0"/>
              <w:ind w:left="0" w:right="0" w:hanging="0"/>
              <w:jc w:val="left"/>
              <w:rPr>
                <w:color w:val="000000"/>
                <w:sz w:val="20"/>
                <w:szCs w:val="20"/>
              </w:rPr>
            </w:pPr>
            <w:r>
              <w:rPr>
                <w:color w:val="000000"/>
                <w:sz w:val="20"/>
                <w:szCs w:val="20"/>
              </w:rPr>
            </w:r>
          </w:p>
        </w:tc>
        <w:tc>
          <w:tcPr>
            <w:tcW w:w="425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false"/>
              <w:keepLines w:val="false"/>
              <w:widowControl w:val="false"/>
              <w:pBdr/>
              <w:shd w:val="clear" w:fill="auto"/>
              <w:spacing w:lineRule="auto" w:line="276" w:before="0" w:after="0"/>
              <w:ind w:left="0" w:right="0" w:hanging="0"/>
              <w:jc w:val="left"/>
              <w:rPr>
                <w:color w:val="000000"/>
                <w:sz w:val="20"/>
                <w:szCs w:val="20"/>
              </w:rPr>
            </w:pPr>
            <w:r>
              <w:rPr>
                <w:color w:val="000000"/>
                <w:sz w:val="20"/>
                <w:szCs w:val="20"/>
              </w:rPr>
            </w:r>
          </w:p>
        </w:tc>
        <w:tc>
          <w:tcPr>
            <w:tcW w:w="581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71" w:after="171"/>
              <w:jc w:val="left"/>
              <w:rPr/>
            </w:pPr>
            <w:r>
              <w:rPr>
                <w:color w:val="000000"/>
                <w:sz w:val="20"/>
                <w:szCs w:val="20"/>
              </w:rPr>
              <w:t xml:space="preserve">Процент (2-21 уровень): </w:t>
            </w:r>
            <w:r>
              <w:rPr>
                <w:color w:val="000000"/>
                <w:sz w:val="20"/>
                <w:szCs w:val="20"/>
              </w:rPr>
              <w:t xml:space="preserve">0.5%</w:t>
            </w:r>
          </w:p>
        </w:tc>
      </w:tr>
      <w:tr>
        <w:trPr>
          <w:trHeight w:val="60" w:hRule="atLeast"/>
        </w:trPr>
        <w:tc>
          <w:tcPr>
            <w:tcW w:w="70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false"/>
              <w:keepLines w:val="false"/>
              <w:widowControl w:val="false"/>
              <w:pBdr/>
              <w:shd w:val="clear" w:fill="auto"/>
              <w:spacing w:lineRule="auto" w:line="276" w:before="0" w:after="0"/>
              <w:ind w:left="0" w:right="0" w:hanging="0"/>
              <w:jc w:val="left"/>
              <w:rPr>
                <w:color w:val="000000"/>
                <w:sz w:val="20"/>
                <w:szCs w:val="20"/>
              </w:rPr>
            </w:pPr>
            <w:r>
              <w:rPr>
                <w:color w:val="000000"/>
                <w:sz w:val="20"/>
                <w:szCs w:val="20"/>
              </w:rPr>
            </w:r>
          </w:p>
        </w:tc>
        <w:tc>
          <w:tcPr>
            <w:tcW w:w="425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false"/>
              <w:keepLines w:val="false"/>
              <w:widowControl w:val="false"/>
              <w:pBdr/>
              <w:shd w:val="clear" w:fill="auto"/>
              <w:spacing w:lineRule="auto" w:line="276" w:before="0" w:after="0"/>
              <w:ind w:left="0" w:right="0" w:hanging="0"/>
              <w:jc w:val="left"/>
              <w:rPr>
                <w:color w:val="000000"/>
                <w:sz w:val="20"/>
                <w:szCs w:val="20"/>
              </w:rPr>
            </w:pPr>
            <w:r>
              <w:rPr>
                <w:color w:val="000000"/>
                <w:sz w:val="20"/>
                <w:szCs w:val="20"/>
              </w:rPr>
            </w:r>
          </w:p>
        </w:tc>
        <w:tc>
          <w:tcPr>
            <w:tcW w:w="581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71" w:after="171"/>
              <w:jc w:val="left"/>
              <w:rPr/>
            </w:pPr>
            <w:r>
              <w:rPr>
                <w:color w:val="000000"/>
                <w:sz w:val="20"/>
                <w:szCs w:val="20"/>
              </w:rPr>
              <w:t xml:space="preserve">Кэшбэк: </w:t>
            </w:r>
            <w:r>
              <w:rPr>
                <w:color w:val="000000"/>
                <w:sz w:val="20"/>
                <w:szCs w:val="20"/>
              </w:rPr>
              <w:t xml:space="preserve">4%</w:t>
            </w:r>
          </w:p>
        </w:tc>
      </w:tr>
      <w:tr>
        <w:trPr/>
        <w:tc>
          <w:tcPr>
            <w:tcW w:w="708" w:type="dxa"/>
            <w:tcBorders>
              <w:top w:val="single" w:sz="4" w:space="0" w:color="000000"/>
              <w:left w:val="single" w:sz="4" w:space="0" w:color="000000"/>
              <w:bottom w:val="single" w:sz="4" w:space="0" w:color="000000"/>
              <w:right w:val="single" w:sz="4" w:space="0" w:color="000000"/>
            </w:tcBorders>
            <w:vAlign w:val="center"/>
          </w:tcPr>
          <w:p>
            <w:pPr>
              <w:pStyle w:val="Normal"/>
              <w:keepNext w:val="false"/>
              <w:keepLines w:val="false"/>
              <w:widowControl/>
              <w:numPr>
                <w:ilvl w:val="1"/>
                <w:numId w:val="2"/>
              </w:numPr>
              <w:pBdr/>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vertAlign w:val="baseline"/>
              </w:rPr>
            </w:pPr>
            <w:r>
              <w:rPr>
                <w:rFonts w:eastAsia="Times New Roman" w:cs="Times New Roman"/>
                <w:b w:val="false"/>
                <w:i w:val="false"/>
                <w:caps w:val="false"/>
                <w:smallCaps w:val="false"/>
                <w:strike w:val="false"/>
                <w:dstrike w:val="false"/>
                <w:color w:val="000000"/>
                <w:position w:val="0"/>
                <w:sz w:val="20"/>
                <w:sz w:val="20"/>
                <w:szCs w:val="20"/>
                <w:shd w:fill="auto" w:val="clear"/>
                <w:vertAlign w:val="baseline"/>
              </w:rPr>
            </w:r>
          </w:p>
        </w:tc>
        <w:tc>
          <w:tcPr>
            <w:tcW w:w="425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color w:val="000000"/>
                <w:sz w:val="20"/>
                <w:szCs w:val="20"/>
              </w:rPr>
            </w:pPr>
            <w:r>
              <w:rPr>
                <w:color w:val="000000"/>
                <w:sz w:val="20"/>
                <w:szCs w:val="20"/>
              </w:rPr>
              <w:t xml:space="preserve">URL-ссылка на </w:t>
            </w:r>
            <w:r>
              <w:rPr>
                <w:color w:val="000000"/>
                <w:sz w:val="20"/>
                <w:szCs w:val="20"/>
              </w:rPr>
              <w:t xml:space="preserve">Условия доставки, оплаты товара и возврата </w:t>
            </w:r>
            <w:r>
              <w:rPr>
                <w:rStyle w:val="FootnoteAnchor"/>
                <w:color w:val="000000"/>
                <w:sz w:val="20"/>
                <w:szCs w:val="20"/>
                <w:vertAlign w:val="superscript"/>
              </w:rPr>
              <w:footnoteReference w:id="8"/>
            </w:r>
            <w:r>
              <w:rPr>
                <w:color w:val="000000"/>
                <w:sz w:val="20"/>
                <w:szCs w:val="20"/>
              </w:rPr>
              <w:t>:</w:t>
            </w:r>
          </w:p>
        </w:tc>
        <w:tc>
          <w:tcPr>
            <w:tcW w:w="581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71" w:after="171"/>
              <w:jc w:val="left"/>
              <w:rPr>
                <w:color w:val="000000"/>
                <w:sz w:val="20"/>
                <w:szCs w:val="20"/>
              </w:rPr>
            </w:pPr>
            <w:r>
              <w:rPr>
                <w:color w:val="000000"/>
                <w:sz w:val="20"/>
                <w:szCs w:val="20"/>
              </w:rPr>
              <w:t xml:space="preserve">-</w:t>
            </w:r>
          </w:p>
        </w:tc>
      </w:tr>
    </w:tbl>
    <w:p>
      <w:pPr>
        <w:pStyle w:val="Normal"/>
        <w:pBdr/>
        <w:spacing w:lineRule="auto" w:line="240" w:before="0" w:after="0"/>
        <w:jc w:val="both"/>
        <w:rPr>
          <w:color w:val="000000"/>
          <w:sz w:val="20"/>
          <w:szCs w:val="20"/>
        </w:rPr>
      </w:pPr>
      <w:r>
        <w:rPr>
          <w:color w:val="000000"/>
          <w:sz w:val="20"/>
          <w:szCs w:val="20"/>
        </w:rPr>
      </w:r>
    </w:p>
    <w:p>
      <w:pPr>
        <w:pStyle w:val="Normal"/>
        <w:numPr>
          <w:ilvl w:val="0"/>
          <w:numId w:val="2"/>
        </w:numPr>
        <w:pBdr/>
        <w:spacing w:lineRule="auto" w:line="240" w:before="0" w:after="0"/>
        <w:ind w:left="0" w:hanging="0"/>
        <w:jc w:val="both"/>
        <w:rPr>
          <w:color w:val="000000"/>
          <w:sz w:val="20"/>
          <w:szCs w:val="20"/>
        </w:rPr>
      </w:pPr>
      <w:r>
        <w:rPr>
          <w:b/>
          <w:color w:val="000000"/>
          <w:sz w:val="20"/>
          <w:szCs w:val="20"/>
        </w:rPr>
        <w:t>ОБЩИЕ ПОЛОЖЕНИЯ</w:t>
      </w:r>
    </w:p>
    <w:p>
      <w:pPr>
        <w:pStyle w:val="Normal"/>
        <w:pBdr/>
        <w:spacing w:lineRule="auto" w:line="240" w:before="0" w:after="0"/>
        <w:jc w:val="both"/>
        <w:rPr>
          <w:color w:val="000000"/>
          <w:sz w:val="20"/>
          <w:szCs w:val="20"/>
        </w:rPr>
      </w:pPr>
      <w:r>
        <w:rPr>
          <w:color w:val="000000"/>
          <w:sz w:val="20"/>
          <w:szCs w:val="20"/>
        </w:rPr>
      </w:r>
    </w:p>
    <w:p>
      <w:pPr>
        <w:pStyle w:val="Normal"/>
        <w:keepNext w:val="false"/>
        <w:keepLines w:val="false"/>
        <w:widowControl/>
        <w:numPr>
          <w:ilvl w:val="1"/>
          <w:numId w:val="2"/>
        </w:numPr>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vertAlign w:val="baseline"/>
        </w:rPr>
      </w:pPr>
      <w:bookmarkStart w:id="0" w:name="_heading=h.30j0zll"/>
      <w:bookmarkEnd w:id="0"/>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При совершении Пользователями Покупки, Компания обеспечивает информационное посредничество между Пользователем и Бизнесом, и вправе обеспечивать техническую возможность приема платежей в пользу Бизнеса (далее – Услуга Компании), а отношения между Пользователем и Бизнесом считаются возникшими после Покупки, и регулируются условиями Акции, изложенными в настоящем документе и Соглашении. Пользователь, Бизнес, </w:t>
      </w: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 xml:space="preserve">ООО «Эдвайз» (ИНН: 6685180761) </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(далее –</w:t>
      </w: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 xml:space="preserve"> </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Компания) совместно в рамках настоящих Условий именуются «Стороны». Обязательным условием оказания Компанией Услуг Компании является полное согласие и соблюдение Пользователем условий, закрепленных в Соглашении.</w:t>
      </w:r>
    </w:p>
    <w:p>
      <w:pPr>
        <w:pStyle w:val="Normal"/>
        <w:keepNext w:val="false"/>
        <w:keepLines w:val="false"/>
        <w:widowControl/>
        <w:numPr>
          <w:ilvl w:val="1"/>
          <w:numId w:val="2"/>
        </w:numPr>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В Условиях под термином «Товар Бизнеса» понимается, преимущественно, товар – как физический объект материального мира, принадлежащий Бизнесу, покупка которого Пользователем регулируются Условиями. Вместе с тем, под указанным термином может также пониматься и услуга Бизнеса. Положения настоящих Условий распространяются на услуги Бизнеса в максимально применимой степени, а в остальном – подлежат регулированию путем применения аналогичных к указанным в Условиях нормам в отношении товаров, либо законодательством РФ, если такую аналогию применить невозможно.</w:t>
      </w:r>
    </w:p>
    <w:p>
      <w:pPr>
        <w:pStyle w:val="Normal"/>
        <w:keepNext w:val="false"/>
        <w:keepLines w:val="false"/>
        <w:widowControl/>
        <w:numPr>
          <w:ilvl w:val="1"/>
          <w:numId w:val="2"/>
        </w:numPr>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Бизнес самостоятельно размещает Товары Бизнеса в Приложении, как адресованную Пользователям </w:t>
      </w: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публичную оферту Бизнеса о заключении розничных договоров купли-продажи Товара Бизнеса</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либо иных договоров, условия которых отображены в условиях Акции (далее – Договоры Бизнеса).</w:t>
      </w:r>
    </w:p>
    <w:p>
      <w:pPr>
        <w:pStyle w:val="Normal"/>
        <w:keepNext w:val="false"/>
        <w:keepLines w:val="false"/>
        <w:widowControl/>
        <w:numPr>
          <w:ilvl w:val="2"/>
          <w:numId w:val="2"/>
        </w:numPr>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Компания не является продавцом Товаров Бизнеса по Договорам Бизнеса. Все взаимоотношения, связанные с куплей-продажей Товаров Бизнеса, возникают непосредственно между Бизнесом и покупателем Товаров Бизнеса – Пользователем, и Бизнес несет полную ответственность перед Пользователем в соответствии с законодательством РФ. Компания </w:t>
      </w: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не является</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 уполномоченным лицом Бизнеса в смысле законодательства о защите прав потребителей.</w:t>
      </w:r>
    </w:p>
    <w:p>
      <w:pPr>
        <w:pStyle w:val="Normal"/>
        <w:keepNext w:val="false"/>
        <w:keepLines w:val="false"/>
        <w:widowControl/>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p>
      <w:pPr>
        <w:pStyle w:val="Normal"/>
        <w:keepNext w:val="false"/>
        <w:keepLines w:val="false"/>
        <w:widowControl/>
        <w:numPr>
          <w:ilvl w:val="0"/>
          <w:numId w:val="2"/>
        </w:numPr>
        <w:pBdr/>
        <w:shd w:val="clear" w:fill="auto"/>
        <w:spacing w:lineRule="auto" w:line="240" w:before="0" w:after="0"/>
        <w:ind w:left="0" w:right="0" w:hanging="0"/>
        <w:jc w:val="both"/>
        <w:rPr>
          <w:i w:val="false"/>
          <w:i w:val="false"/>
          <w:caps w:val="false"/>
          <w:smallCaps w:val="false"/>
          <w:strike w:val="false"/>
          <w:dstrike w:val="false"/>
          <w:color w:val="000000"/>
          <w:position w:val="0"/>
          <w:sz w:val="24"/>
          <w:sz w:val="20"/>
          <w:szCs w:val="20"/>
          <w:vertAlign w:val="baseline"/>
        </w:rPr>
      </w:pPr>
      <w:r>
        <w:rPr>
          <w:b/>
          <w:sz w:val="20"/>
          <w:szCs w:val="20"/>
        </w:rPr>
        <w:t>ВЗАИМОДЕЙСТВИЕ</w:t>
      </w: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 xml:space="preserve"> СТОРОН</w:t>
      </w:r>
    </w:p>
    <w:p>
      <w:pPr>
        <w:pStyle w:val="Normal"/>
        <w:keepNext w:val="false"/>
        <w:keepLines w:val="false"/>
        <w:widowControl/>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p>
      <w:pPr>
        <w:pStyle w:val="Normal"/>
        <w:keepNext w:val="false"/>
        <w:keepLines w:val="false"/>
        <w:widowControl/>
        <w:numPr>
          <w:ilvl w:val="1"/>
          <w:numId w:val="2"/>
        </w:numPr>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Компания предоставляет Пользователям доступ к Приложению, в том числе, обеспечивая возможность знакомиться с информацией об Акции, Товаре Бизнеса, иных условиях.</w:t>
      </w:r>
    </w:p>
    <w:p>
      <w:pPr>
        <w:pStyle w:val="Normal"/>
        <w:keepNext w:val="false"/>
        <w:keepLines w:val="false"/>
        <w:widowControl/>
        <w:numPr>
          <w:ilvl w:val="1"/>
          <w:numId w:val="2"/>
        </w:numPr>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В соответствии с параметрами конкретной Акции, доставка купленного Товара Бизнеса производится способом, установленным Бизнесом в условиях Акции, а при отсутствии таковых – на стандартных условиях, которые предусмотрены документом «Условия доставки товаров и возврата оплаты», который доступен по ссылке: </w:t>
      </w:r>
      <w:hyperlink r:id="rId3">
        <w:r>
          <w:rPr>
            <w:rFonts w:eastAsia="Times New Roman" w:cs="Times New Roman"/>
            <w:b w:val="false"/>
            <w:i w:val="false"/>
            <w:caps w:val="false"/>
            <w:smallCaps w:val="false"/>
            <w:strike w:val="false"/>
            <w:dstrike w:val="false"/>
            <w:color w:val="22478B"/>
            <w:position w:val="0"/>
            <w:sz w:val="20"/>
            <w:sz w:val="20"/>
            <w:szCs w:val="20"/>
            <w:u w:val="none"/>
            <w:shd w:fill="auto" w:val="clear"/>
            <w:vertAlign w:val="baseline"/>
          </w:rPr>
          <w:t>https://adwise.cards/delivery-terms</w:t>
        </w:r>
      </w:hyperlink>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 (далее – Стандартные условия).</w:t>
      </w:r>
    </w:p>
    <w:p>
      <w:pPr>
        <w:pStyle w:val="Normal"/>
        <w:keepNext w:val="false"/>
        <w:keepLines w:val="false"/>
        <w:widowControl/>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p>
      <w:pPr>
        <w:pStyle w:val="Normal"/>
        <w:keepNext w:val="false"/>
        <w:keepLines w:val="false"/>
        <w:widowControl/>
        <w:numPr>
          <w:ilvl w:val="1"/>
          <w:numId w:val="2"/>
        </w:numPr>
        <w:pBdr/>
        <w:shd w:val="clear" w:fill="auto"/>
        <w:spacing w:lineRule="auto" w:line="240" w:before="0" w:after="0"/>
        <w:ind w:left="0" w:right="0" w:hanging="0"/>
        <w:jc w:val="both"/>
        <w:rPr>
          <w:i w:val="false"/>
          <w:i w:val="false"/>
          <w:caps w:val="false"/>
          <w:smallCaps w:val="false"/>
          <w:strike w:val="false"/>
          <w:dstrike w:val="false"/>
          <w:color w:val="000000"/>
          <w:position w:val="0"/>
          <w:sz w:val="24"/>
          <w:sz w:val="20"/>
          <w:szCs w:val="20"/>
          <w:vertAlign w:val="baseline"/>
        </w:rPr>
      </w:pP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ИСПОЛЬЗОВАНИЕ АКЦИЙ</w:t>
      </w:r>
    </w:p>
    <w:p>
      <w:pPr>
        <w:pStyle w:val="Normal"/>
        <w:keepNext w:val="false"/>
        <w:keepLines w:val="false"/>
        <w:widowControl/>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p>
      <w:pPr>
        <w:pStyle w:val="Normal"/>
        <w:keepNext w:val="false"/>
        <w:keepLines w:val="false"/>
        <w:widowControl/>
        <w:numPr>
          <w:ilvl w:val="2"/>
          <w:numId w:val="2"/>
        </w:numPr>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Пользователь признает, что ввиду технической сложности передачи информации через Приложение, Бизнесу необходимо разумное время для подтверждения возможности выполнения условий Акции. Ввиду невозможности обмениваться Сторонам волеизъявлениями непосредственно одна после другой, неподтверждение возможности выполнения условий Акции со стороны Бизнеса не следует рассматривать как отказ Бизнеса от заключения договора. Информация о возможности Бизнеса исполнить условия Акции предоставляется Пользователям насколько возможно своевременно, но в случае исчерпания у Бизнеса запаса Товаров Бизнеса, Бизнесу и Компании необходимо разумное время для корректировки в Приложении информации. В связи с этим, сообщение Пользователю, выразившему намерение оформить Покупку, об исчерпании запаса Товаров Бизнеса у Бизнеса и, как следствие, о невозможности выполнить условия Акции, не порождает никаких негативных юридических последствий для Бизнеса и Компании.</w:t>
      </w:r>
    </w:p>
    <w:p>
      <w:pPr>
        <w:pStyle w:val="Normal"/>
        <w:keepNext w:val="false"/>
        <w:keepLines w:val="false"/>
        <w:widowControl/>
        <w:numPr>
          <w:ilvl w:val="2"/>
          <w:numId w:val="2"/>
        </w:numPr>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Количество, общая максимальная стоимость и вес Товаров Бизнеса, доступных для Покупки в рамках приобретения одной Акции в Приложении, могут быть ограничены. Информация о максимально возможном количестве и стоимости Товаров Бизнеса для одной Покупки представляется в Приложении в процессе формирования Покупки, а если такая информация не представлена – то ее обязуется предоставить Бизнес по первому запросу Пользователя.</w:t>
      </w:r>
    </w:p>
    <w:p>
      <w:pPr>
        <w:pStyle w:val="Normal"/>
        <w:keepNext w:val="false"/>
        <w:keepLines w:val="false"/>
        <w:widowControl/>
        <w:numPr>
          <w:ilvl w:val="3"/>
          <w:numId w:val="2"/>
        </w:numPr>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Компания не несет ответственность за возможность выполнения условий Акции Бизнесом, и не гарантирует выполнение условий Акции Бизнесом.</w:t>
      </w:r>
    </w:p>
    <w:p>
      <w:pPr>
        <w:pStyle w:val="Normal"/>
        <w:keepNext w:val="false"/>
        <w:keepLines w:val="false"/>
        <w:widowControl/>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p>
      <w:pPr>
        <w:pStyle w:val="Normal"/>
        <w:keepNext w:val="false"/>
        <w:keepLines w:val="false"/>
        <w:widowControl/>
        <w:numPr>
          <w:ilvl w:val="1"/>
          <w:numId w:val="2"/>
        </w:numPr>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Стороны договорились, что в случае, если Бизнес поручает Компании руководствуясь ст.1005 ГК РФ принять от Пользователя денежные средства за Товар Бизнеса в рамках Акции (в счет погашения обязательства Пользователя перед Бизнесом по договору купли-продажи Товара Бизнеса, заключаемого между Бизнесом и Пользователем), Компания осуществляет от имени Бизнеса прием денежных средств от Пользователя и перечисляет Бизнесу сумму, соответствующую сумме полученных от Пользователя денежных средств за Товар Бизнеса (за вычетом сумм комиссий и иных платежей, предусмотренных соглашениями между Бизнесом и Компанией).</w:t>
      </w:r>
    </w:p>
    <w:p>
      <w:pPr>
        <w:pStyle w:val="Normal"/>
        <w:keepNext w:val="false"/>
        <w:keepLines w:val="false"/>
        <w:widowControl/>
        <w:numPr>
          <w:ilvl w:val="1"/>
          <w:numId w:val="2"/>
        </w:numPr>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Претензии к качеству приобретенного Товара Бизнеса, возникшие после получения и оплаты Товара Бизнеса, предъявляются к Бизнесу, и рассматриваются в соответствии с Законом РФ «О защите прав потребителей» и гарантийными обязательствами соответствующего Бизнеса.</w:t>
      </w:r>
    </w:p>
    <w:p>
      <w:pPr>
        <w:pStyle w:val="Normal"/>
        <w:keepNext w:val="false"/>
        <w:keepLines w:val="false"/>
        <w:widowControl/>
        <w:numPr>
          <w:ilvl w:val="2"/>
          <w:numId w:val="2"/>
        </w:numPr>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Бизнес самостоятельно урегулирует с Пользователем все вопросы, связанные с возвратом Товара Бизнеса и денежных средств, в том числе в случаях, предусмотренных законодательством о защите прав потребителей.</w:t>
      </w:r>
    </w:p>
    <w:p>
      <w:pPr>
        <w:pStyle w:val="Normal"/>
        <w:keepNext w:val="false"/>
        <w:keepLines w:val="false"/>
        <w:widowControl/>
        <w:numPr>
          <w:ilvl w:val="1"/>
          <w:numId w:val="2"/>
        </w:numPr>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Компания оказывает Пользователям информационную поддержку, связанную с рассмотрением претензий Пользователей, связанных с процессами покупки и доставки Товара Бизнеса. Компания </w:t>
      </w: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не рассматривает</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 претензии, связанные с ненадлежащим качеством Товаров, удовлетворением соответствующих требований, возвратом денежных средств Пользователя, и иных подобных требований. Все указанные действия осуществляются непосредственно Бизнесом.</w:t>
      </w:r>
    </w:p>
    <w:p>
      <w:pPr>
        <w:pStyle w:val="Normal"/>
        <w:keepNext w:val="false"/>
        <w:keepLines w:val="false"/>
        <w:widowControl/>
        <w:numPr>
          <w:ilvl w:val="1"/>
          <w:numId w:val="2"/>
        </w:numPr>
        <w:pBdr/>
        <w:shd w:val="clear" w:fill="auto"/>
        <w:spacing w:lineRule="auto" w:line="240" w:before="0" w:after="0"/>
        <w:ind w:left="0" w:right="0" w:hanging="0"/>
        <w:jc w:val="both"/>
        <w:rPr>
          <w:i w:val="false"/>
          <w:i w:val="false"/>
          <w:caps w:val="false"/>
          <w:smallCaps w:val="false"/>
          <w:strike w:val="false"/>
          <w:dstrike w:val="false"/>
          <w:color w:val="000000"/>
          <w:position w:val="0"/>
          <w:sz w:val="24"/>
          <w:sz w:val="20"/>
          <w:szCs w:val="20"/>
          <w:vertAlign w:val="baseline"/>
        </w:rPr>
      </w:pP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Оплата Товаров Бизнеса</w:t>
      </w:r>
    </w:p>
    <w:p>
      <w:pPr>
        <w:pStyle w:val="Normal"/>
        <w:keepNext w:val="false"/>
        <w:keepLines w:val="false"/>
        <w:widowControl/>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Если иное не предусмотрено условиями Акции, стоимость Товара Бизнеса включают стоимость тары (упаковки) и налог на добавленную стоимость (НДС) 20%. 1.1.</w:t>
        <w:tab/>
        <w:t>Оформление Пользователем Покупки осуществляется в порядке, установленным интерфейсом Приложения, если Акцией не предусмотрено иное.</w:t>
      </w:r>
    </w:p>
    <w:p>
      <w:pPr>
        <w:pStyle w:val="Normal"/>
        <w:numPr>
          <w:ilvl w:val="1"/>
          <w:numId w:val="2"/>
        </w:numPr>
        <w:pBdr/>
        <w:spacing w:lineRule="auto" w:line="240" w:before="0" w:after="0"/>
        <w:ind w:left="0" w:hanging="0"/>
        <w:jc w:val="both"/>
        <w:rPr>
          <w:color w:val="000000"/>
          <w:sz w:val="20"/>
          <w:szCs w:val="20"/>
        </w:rPr>
      </w:pPr>
      <w:r>
        <w:rPr>
          <w:b/>
          <w:color w:val="000000"/>
          <w:sz w:val="20"/>
          <w:szCs w:val="20"/>
        </w:rPr>
        <w:t>Информация об участнике Акции (Пользователе):</w:t>
      </w:r>
    </w:p>
    <w:p>
      <w:pPr>
        <w:pStyle w:val="Normal"/>
        <w:pBdr/>
        <w:spacing w:lineRule="auto" w:line="240" w:before="0" w:after="0"/>
        <w:jc w:val="both"/>
        <w:rPr>
          <w:color w:val="000000"/>
          <w:sz w:val="20"/>
          <w:szCs w:val="20"/>
        </w:rPr>
      </w:pPr>
      <w:r>
        <w:rPr>
          <w:color w:val="000000"/>
          <w:sz w:val="20"/>
          <w:szCs w:val="20"/>
        </w:rPr>
      </w:r>
    </w:p>
    <w:p>
      <w:pPr>
        <w:pStyle w:val="Normal"/>
        <w:numPr>
          <w:ilvl w:val="2"/>
          <w:numId w:val="2"/>
        </w:numPr>
        <w:pBdr/>
        <w:spacing w:lineRule="auto" w:line="240" w:before="0" w:after="0"/>
        <w:ind w:left="0" w:hanging="0"/>
        <w:jc w:val="both"/>
        <w:rPr>
          <w:sz w:val="20"/>
          <w:szCs w:val="20"/>
        </w:rPr>
      </w:pPr>
      <w:r>
        <w:rPr>
          <w:color w:val="000000"/>
          <w:sz w:val="20"/>
          <w:szCs w:val="20"/>
        </w:rPr>
        <w:t>Участником Акции (далее – Пользователь) является любое дееспособное физическое лицо,  достигшее 18 лет (либо лицо, не достигшее 18 лет, но в соответствии с законодательством РФ не имеющее ограничений на совершение сделок), которое одновременно:</w:t>
      </w:r>
    </w:p>
    <w:p>
      <w:pPr>
        <w:pStyle w:val="Normal"/>
        <w:keepNext w:val="false"/>
        <w:keepLines w:val="false"/>
        <w:widowControl/>
        <w:numPr>
          <w:ilvl w:val="3"/>
          <w:numId w:val="2"/>
        </w:numPr>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в полном объеме приняло и исполняет условия Соглашения;</w:t>
      </w:r>
    </w:p>
    <w:p>
      <w:pPr>
        <w:pStyle w:val="Normal"/>
        <w:keepNext w:val="false"/>
        <w:keepLines w:val="false"/>
        <w:widowControl/>
        <w:numPr>
          <w:ilvl w:val="3"/>
          <w:numId w:val="2"/>
        </w:numPr>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является зарегистрированным пользователем Приложения;</w:t>
      </w:r>
    </w:p>
    <w:p>
      <w:pPr>
        <w:pStyle w:val="Normal"/>
        <w:keepNext w:val="false"/>
        <w:keepLines w:val="false"/>
        <w:widowControl/>
        <w:numPr>
          <w:ilvl w:val="3"/>
          <w:numId w:val="2"/>
        </w:numPr>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успешно совершило Платежную операцию в целях обретения встречного исполнения от Бизнеса согласно условиям Акции и Соглашения (при этом в некоторых случаях, в т.ч. указанных в Условиях, совершение Платежной операции доступно только на территории Организатора акции и в момент получения товара);</w:t>
      </w:r>
    </w:p>
    <w:p>
      <w:pPr>
        <w:pStyle w:val="Normal"/>
        <w:keepNext w:val="false"/>
        <w:keepLines w:val="false"/>
        <w:widowControl/>
        <w:numPr>
          <w:ilvl w:val="3"/>
          <w:numId w:val="2"/>
        </w:numPr>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не использовало Акцию ранее.</w:t>
      </w:r>
    </w:p>
    <w:p>
      <w:pPr>
        <w:pStyle w:val="Normal"/>
        <w:pBdr/>
        <w:spacing w:lineRule="auto" w:line="240" w:before="0" w:after="0"/>
        <w:jc w:val="both"/>
        <w:rPr>
          <w:color w:val="000000"/>
          <w:sz w:val="20"/>
          <w:szCs w:val="20"/>
        </w:rPr>
      </w:pPr>
      <w:r>
        <w:rPr>
          <w:color w:val="000000"/>
          <w:sz w:val="20"/>
          <w:szCs w:val="20"/>
        </w:rPr>
      </w:r>
    </w:p>
    <w:p>
      <w:pPr>
        <w:pStyle w:val="Normal"/>
        <w:numPr>
          <w:ilvl w:val="0"/>
          <w:numId w:val="2"/>
        </w:numPr>
        <w:pBdr/>
        <w:spacing w:lineRule="auto" w:line="240" w:before="0" w:after="0"/>
        <w:ind w:left="0" w:hanging="0"/>
        <w:jc w:val="both"/>
        <w:rPr>
          <w:color w:val="000000"/>
          <w:sz w:val="20"/>
          <w:szCs w:val="20"/>
        </w:rPr>
      </w:pPr>
      <w:r>
        <w:rPr>
          <w:b/>
          <w:color w:val="000000"/>
          <w:sz w:val="20"/>
          <w:szCs w:val="20"/>
        </w:rPr>
        <w:t>ПОРЯДОК УТОЧНЕНИЯ ИНФОРМАЦИИ И ПРИНЯТИЯ УСЛОВИЙ АКЦИИ</w:t>
      </w:r>
    </w:p>
    <w:p>
      <w:pPr>
        <w:pStyle w:val="Normal"/>
        <w:pBdr/>
        <w:spacing w:lineRule="auto" w:line="240" w:before="0" w:after="0"/>
        <w:jc w:val="both"/>
        <w:rPr>
          <w:b/>
          <w:b/>
          <w:color w:val="000000"/>
          <w:sz w:val="20"/>
          <w:szCs w:val="20"/>
        </w:rPr>
      </w:pPr>
      <w:r>
        <w:rPr>
          <w:b/>
          <w:color w:val="000000"/>
          <w:sz w:val="20"/>
          <w:szCs w:val="20"/>
        </w:rPr>
      </w:r>
    </w:p>
    <w:p>
      <w:pPr>
        <w:pStyle w:val="Normal"/>
        <w:numPr>
          <w:ilvl w:val="1"/>
          <w:numId w:val="2"/>
        </w:numPr>
        <w:pBdr/>
        <w:spacing w:lineRule="auto" w:line="240" w:before="0" w:after="0"/>
        <w:ind w:left="0" w:hanging="0"/>
        <w:jc w:val="both"/>
        <w:rPr>
          <w:sz w:val="20"/>
          <w:szCs w:val="20"/>
        </w:rPr>
      </w:pPr>
      <w:r>
        <w:rPr>
          <w:color w:val="000000"/>
          <w:sz w:val="20"/>
          <w:szCs w:val="20"/>
        </w:rPr>
        <w:t>Информация об Организаторе Акции, о правилах, сроках, месте ее проведения, условиях участия в ней и порядке получения встречного исполнения от Бизнеса по Акции размещена в Приложении, в разделе соответствующей Акции, а также доступна по контактам Бизнеса.</w:t>
      </w:r>
    </w:p>
    <w:p>
      <w:pPr>
        <w:pStyle w:val="Normal"/>
        <w:numPr>
          <w:ilvl w:val="2"/>
          <w:numId w:val="2"/>
        </w:numPr>
        <w:pBdr/>
        <w:spacing w:lineRule="auto" w:line="240" w:before="0" w:after="0"/>
        <w:ind w:left="0" w:hanging="0"/>
        <w:jc w:val="both"/>
        <w:rPr>
          <w:sz w:val="20"/>
          <w:szCs w:val="20"/>
        </w:rPr>
      </w:pPr>
      <w:r>
        <w:rPr>
          <w:color w:val="000000"/>
          <w:sz w:val="20"/>
          <w:szCs w:val="20"/>
        </w:rPr>
        <w:t>Пользователь вправе запросить у Бизнеса подробное описание Акции, в том случае, если изложенное в настоящих Условиях описание является для него непонятным и/или допускающим двоякие формулировки и т.п., непосредственно до совершения Платежной операции. При успешном совершении Платежной операции, Пользователь не вправе ссылаться на недостаточно подробное описание, и несет всю ответственность за отказ в реализации предоставленного права.</w:t>
      </w:r>
    </w:p>
    <w:p>
      <w:pPr>
        <w:pStyle w:val="Normal"/>
        <w:numPr>
          <w:ilvl w:val="1"/>
          <w:numId w:val="2"/>
        </w:numPr>
        <w:pBdr/>
        <w:spacing w:lineRule="auto" w:line="240" w:before="0" w:after="0"/>
        <w:ind w:left="0" w:hanging="0"/>
        <w:jc w:val="both"/>
        <w:rPr>
          <w:color w:val="000000"/>
          <w:sz w:val="20"/>
          <w:szCs w:val="20"/>
        </w:rPr>
      </w:pPr>
      <w:r>
        <w:rPr>
          <w:color w:val="000000"/>
          <w:sz w:val="20"/>
          <w:szCs w:val="20"/>
        </w:rPr>
        <w:t>Пользователь считается полностью ознакомленным с настоящими Условиями, приложениями к ним, а также всей необходимой и предоставленной Бизнесом информации относительно условий Акции, и полностью и безоговорочно принявшим их, если Пользователь успешно совершил Платежную операцию в целях совершения Покупки у Бизнеса.</w:t>
      </w:r>
    </w:p>
    <w:p>
      <w:pPr>
        <w:pStyle w:val="Normal"/>
        <w:numPr>
          <w:ilvl w:val="1"/>
          <w:numId w:val="2"/>
        </w:numPr>
        <w:pBdr/>
        <w:spacing w:lineRule="auto" w:line="240" w:before="0" w:after="0"/>
        <w:ind w:left="0" w:hanging="0"/>
        <w:jc w:val="both"/>
        <w:rPr>
          <w:color w:val="000000"/>
          <w:sz w:val="20"/>
          <w:szCs w:val="20"/>
        </w:rPr>
      </w:pPr>
      <w:r>
        <w:rPr>
          <w:color w:val="000000"/>
          <w:sz w:val="20"/>
          <w:szCs w:val="20"/>
        </w:rPr>
        <w:t xml:space="preserve">Во всем остальном, что не указано в Условиях, Соглашении и приложениях к нему, Пользователь руководствуется информацией, размещенной по URL-ссылке Акции, которая является офертой, адресованной Бизнесом Пользователям. </w:t>
      </w:r>
    </w:p>
    <w:p>
      <w:pPr>
        <w:pStyle w:val="Normal"/>
        <w:pBdr/>
        <w:spacing w:lineRule="auto" w:line="240" w:before="0" w:after="0"/>
        <w:jc w:val="both"/>
        <w:rPr>
          <w:color w:val="000000"/>
          <w:sz w:val="20"/>
          <w:szCs w:val="20"/>
        </w:rPr>
      </w:pPr>
      <w:r>
        <w:rPr>
          <w:color w:val="000000"/>
          <w:sz w:val="20"/>
          <w:szCs w:val="20"/>
        </w:rPr>
      </w:r>
    </w:p>
    <w:p>
      <w:pPr>
        <w:pStyle w:val="Normal"/>
        <w:numPr>
          <w:ilvl w:val="0"/>
          <w:numId w:val="2"/>
        </w:numPr>
        <w:pBdr/>
        <w:spacing w:lineRule="auto" w:line="240" w:before="0" w:after="0"/>
        <w:ind w:left="0" w:hanging="0"/>
        <w:jc w:val="both"/>
        <w:rPr>
          <w:color w:val="000000"/>
          <w:sz w:val="20"/>
          <w:szCs w:val="20"/>
        </w:rPr>
      </w:pPr>
      <w:r>
        <w:rPr>
          <w:b/>
          <w:color w:val="000000"/>
          <w:sz w:val="20"/>
          <w:szCs w:val="20"/>
        </w:rPr>
        <w:t>ПОРЯДОК ИНФОРМИРОВАНИЯ ПОЛЬЗОВАТЕЛЕЙ ОБ ИЗМЕНЕНИИ УСЛОВИЙ АКЦИИ, ОТМЕНЕ, ПРИОСТАНОВЛЕНИИ ИЛИ ДОСРОЧНОМ ПРЕКРАЩЕНИИ АКЦИИ</w:t>
      </w:r>
    </w:p>
    <w:p>
      <w:pPr>
        <w:pStyle w:val="Normal"/>
        <w:pBdr/>
        <w:spacing w:lineRule="auto" w:line="240" w:before="0" w:after="0"/>
        <w:jc w:val="both"/>
        <w:rPr>
          <w:color w:val="000000"/>
          <w:sz w:val="20"/>
          <w:szCs w:val="20"/>
        </w:rPr>
      </w:pPr>
      <w:r>
        <w:rPr>
          <w:color w:val="000000"/>
          <w:sz w:val="20"/>
          <w:szCs w:val="20"/>
        </w:rPr>
      </w:r>
    </w:p>
    <w:p>
      <w:pPr>
        <w:pStyle w:val="Normal"/>
        <w:numPr>
          <w:ilvl w:val="1"/>
          <w:numId w:val="2"/>
        </w:numPr>
        <w:pBdr/>
        <w:spacing w:lineRule="auto" w:line="240" w:before="0" w:after="0"/>
        <w:ind w:left="0" w:hanging="0"/>
        <w:jc w:val="both"/>
        <w:rPr>
          <w:sz w:val="20"/>
          <w:szCs w:val="20"/>
        </w:rPr>
      </w:pPr>
      <w:r>
        <w:rPr>
          <w:color w:val="000000"/>
          <w:sz w:val="20"/>
          <w:szCs w:val="20"/>
        </w:rPr>
        <w:t>Организатор имеет право по собственному усмотрению:</w:t>
      </w:r>
    </w:p>
    <w:p>
      <w:pPr>
        <w:pStyle w:val="Normal"/>
        <w:keepNext w:val="false"/>
        <w:keepLines w:val="false"/>
        <w:widowControl/>
        <w:numPr>
          <w:ilvl w:val="2"/>
          <w:numId w:val="2"/>
        </w:numPr>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изменять правила проведения Акции.</w:t>
      </w:r>
    </w:p>
    <w:p>
      <w:pPr>
        <w:pStyle w:val="Normal"/>
        <w:keepNext w:val="false"/>
        <w:keepLines w:val="false"/>
        <w:widowControl/>
        <w:numPr>
          <w:ilvl w:val="2"/>
          <w:numId w:val="2"/>
        </w:numPr>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отменить, приостановить либо досрочно прекратить Акцию.</w:t>
      </w:r>
    </w:p>
    <w:p>
      <w:pPr>
        <w:pStyle w:val="Normal"/>
        <w:numPr>
          <w:ilvl w:val="1"/>
          <w:numId w:val="2"/>
        </w:numPr>
        <w:pBdr/>
        <w:spacing w:lineRule="auto" w:line="240" w:before="0" w:after="0"/>
        <w:ind w:left="0" w:hanging="0"/>
        <w:jc w:val="both"/>
        <w:rPr>
          <w:sz w:val="20"/>
          <w:szCs w:val="20"/>
        </w:rPr>
      </w:pPr>
      <w:r>
        <w:rPr>
          <w:color w:val="000000"/>
          <w:sz w:val="20"/>
          <w:szCs w:val="20"/>
        </w:rPr>
        <w:t>В случае изменений условий Акции, а также ее отмены, приостановления или досрочного прекращения Организатор информирует об этом Пользователей путем удаления Акции из Приложения.</w:t>
      </w:r>
    </w:p>
    <w:p>
      <w:pPr>
        <w:pStyle w:val="Normal"/>
        <w:pBdr/>
        <w:spacing w:lineRule="auto" w:line="240" w:before="0" w:after="0"/>
        <w:jc w:val="both"/>
        <w:rPr>
          <w:b/>
          <w:b/>
          <w:color w:val="000000"/>
          <w:sz w:val="20"/>
          <w:szCs w:val="20"/>
        </w:rPr>
      </w:pPr>
      <w:r>
        <w:rPr>
          <w:b/>
          <w:color w:val="000000"/>
          <w:sz w:val="20"/>
          <w:szCs w:val="20"/>
        </w:rPr>
      </w:r>
    </w:p>
    <w:p>
      <w:pPr>
        <w:pStyle w:val="Normal"/>
        <w:numPr>
          <w:ilvl w:val="0"/>
          <w:numId w:val="2"/>
        </w:numPr>
        <w:pBdr/>
        <w:spacing w:lineRule="auto" w:line="240" w:before="0" w:after="0"/>
        <w:ind w:left="0" w:hanging="0"/>
        <w:jc w:val="both"/>
        <w:rPr>
          <w:color w:val="000000"/>
          <w:sz w:val="20"/>
          <w:szCs w:val="20"/>
        </w:rPr>
      </w:pPr>
      <w:r>
        <w:rPr>
          <w:b/>
          <w:color w:val="000000"/>
          <w:sz w:val="20"/>
          <w:szCs w:val="20"/>
        </w:rPr>
        <w:t>ИНЫЕ УСЛОВИЯ</w:t>
      </w:r>
    </w:p>
    <w:p>
      <w:pPr>
        <w:pStyle w:val="Normal"/>
        <w:pBdr/>
        <w:spacing w:lineRule="auto" w:line="240" w:before="0" w:after="0"/>
        <w:jc w:val="both"/>
        <w:rPr>
          <w:b/>
          <w:b/>
          <w:color w:val="000000"/>
          <w:sz w:val="20"/>
          <w:szCs w:val="20"/>
        </w:rPr>
      </w:pPr>
      <w:r>
        <w:rPr>
          <w:b/>
          <w:color w:val="000000"/>
          <w:sz w:val="20"/>
          <w:szCs w:val="20"/>
        </w:rPr>
      </w:r>
    </w:p>
    <w:p>
      <w:pPr>
        <w:pStyle w:val="Normal"/>
        <w:keepNext w:val="false"/>
        <w:keepLines w:val="false"/>
        <w:widowControl/>
        <w:numPr>
          <w:ilvl w:val="1"/>
          <w:numId w:val="2"/>
        </w:numPr>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При оформлении Покупки может быть установлена минимальная стоимость Акции в зависимости от параметров доставки.</w:t>
      </w:r>
    </w:p>
    <w:p>
      <w:pPr>
        <w:pStyle w:val="Normal"/>
        <w:keepNext w:val="false"/>
        <w:keepLines w:val="false"/>
        <w:widowControl/>
        <w:numPr>
          <w:ilvl w:val="1"/>
          <w:numId w:val="2"/>
        </w:numPr>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Стороны признают равную юридическую силу собственноручной подписи и факсимильного воспроизведения подписи с помощью средств механического или иного копирования, в частности с использованием планшетов для формирования факсимильной подписи.</w:t>
      </w:r>
    </w:p>
    <w:p>
      <w:pPr>
        <w:pStyle w:val="Normal"/>
        <w:keepNext w:val="false"/>
        <w:keepLines w:val="false"/>
        <w:widowControl/>
        <w:numPr>
          <w:ilvl w:val="1"/>
          <w:numId w:val="2"/>
        </w:numPr>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Пользователь осознает, что изображения, указанные в Акции в Приложении носят исключительно вспомогательный характер, направленный на облегчение восприятия информации Пользователем, и могут не соответствовать Товару Бизнеса.</w:t>
      </w:r>
    </w:p>
    <w:p>
      <w:pPr>
        <w:pStyle w:val="Normal"/>
        <w:numPr>
          <w:ilvl w:val="1"/>
          <w:numId w:val="2"/>
        </w:numPr>
        <w:pBdr/>
        <w:spacing w:lineRule="auto" w:line="240" w:before="0" w:after="0"/>
        <w:ind w:left="0" w:hanging="0"/>
        <w:jc w:val="both"/>
        <w:rPr>
          <w:sz w:val="20"/>
          <w:szCs w:val="20"/>
        </w:rPr>
      </w:pPr>
      <w:bookmarkStart w:id="1" w:name="_heading=h.gjdgxs"/>
      <w:bookmarkEnd w:id="1"/>
      <w:r>
        <w:rPr>
          <w:b/>
          <w:color w:val="000000"/>
          <w:sz w:val="20"/>
          <w:szCs w:val="20"/>
        </w:rPr>
        <w:t>ООО «Эдвайз» (ИНН: 6685180761)</w:t>
      </w:r>
      <w:r>
        <w:rPr>
          <w:color w:val="000000"/>
          <w:sz w:val="20"/>
          <w:szCs w:val="20"/>
        </w:rPr>
        <w:t xml:space="preserve">, в ведении которого находится Приложение, осуществляет исключительно информационное посредничество между Пользователем и Бизнесом, а также может выступать агентом по приему платежей от Пользователей по поручению Бизнеса, и не несет никакой ответственности за фактическое исполнение Бизнесом обязательств, вытекающих из размещенной Акции. При наличии любых претензий относительно встречного исполнения Бизнесом обязательств по Акции Пользователь обязуется предъявлять соответствующие претензии к Бизнесу. </w:t>
      </w:r>
    </w:p>
    <w:p>
      <w:pPr>
        <w:pStyle w:val="Normal"/>
        <w:numPr>
          <w:ilvl w:val="1"/>
          <w:numId w:val="2"/>
        </w:numPr>
        <w:pBdr/>
        <w:spacing w:lineRule="auto" w:line="240" w:before="0" w:after="0"/>
        <w:ind w:left="0" w:hanging="0"/>
        <w:jc w:val="both"/>
        <w:rPr>
          <w:color w:val="000000"/>
          <w:sz w:val="20"/>
          <w:szCs w:val="20"/>
        </w:rPr>
      </w:pPr>
      <w:r>
        <w:rPr>
          <w:color w:val="000000"/>
          <w:sz w:val="20"/>
          <w:szCs w:val="20"/>
        </w:rPr>
        <w:t>Акция не является лотереей либо иной, основанной на риске, игрой.</w:t>
      </w:r>
    </w:p>
    <w:p>
      <w:pPr>
        <w:pStyle w:val="Normal"/>
        <w:numPr>
          <w:ilvl w:val="1"/>
          <w:numId w:val="2"/>
        </w:numPr>
        <w:pBdr/>
        <w:spacing w:lineRule="auto" w:line="240" w:before="0" w:after="0"/>
        <w:ind w:left="0" w:hanging="0"/>
        <w:jc w:val="both"/>
        <w:rPr>
          <w:color w:val="000000"/>
          <w:sz w:val="20"/>
          <w:szCs w:val="20"/>
        </w:rPr>
      </w:pPr>
      <w:r>
        <w:rPr>
          <w:color w:val="000000"/>
          <w:sz w:val="20"/>
          <w:szCs w:val="20"/>
        </w:rPr>
        <w:t xml:space="preserve">Акция проводится в целях рекламы, продвижения на рынке и привлечения внимания потребителей к товару, реализуемому Организатором. </w:t>
      </w:r>
    </w:p>
    <w:p>
      <w:pPr>
        <w:pStyle w:val="Normal"/>
        <w:numPr>
          <w:ilvl w:val="1"/>
          <w:numId w:val="2"/>
        </w:numPr>
        <w:pBdr/>
        <w:spacing w:lineRule="auto" w:line="240" w:before="0" w:after="0"/>
        <w:ind w:left="0" w:hanging="0"/>
        <w:jc w:val="both"/>
        <w:rPr>
          <w:sz w:val="20"/>
          <w:szCs w:val="20"/>
        </w:rPr>
      </w:pPr>
      <w:r>
        <w:rPr>
          <w:color w:val="000000"/>
          <w:sz w:val="20"/>
          <w:szCs w:val="20"/>
        </w:rPr>
        <w:t>Недействительность какого-либо положения настоящих Условий не влечет за собой недействительность остальных положений.</w:t>
      </w:r>
    </w:p>
    <w:sectPr>
      <w:footerReference w:type="default" r:id="rId4"/>
      <w:footnotePr>
        <w:numFmt w:val="decimal"/>
      </w:footnotePr>
      <w:type w:val="nextPage"/>
      <w:pgSz w:w="11906" w:h="16838"/>
      <w:pgMar w:left="567" w:right="567" w:header="0" w:top="567" w:footer="0" w:bottom="567"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mbria">
    <w:charset w:val="01"/>
    <w:family w:val="roman"/>
    <w:pitch w:val="variable"/>
  </w:font>
  <w:font w:name="Calibri">
    <w:charset w:val="01"/>
    <w:family w:val="roman"/>
    <w:pitch w:val="variable"/>
  </w:font>
  <w:font w:name="Symbol">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ahoma">
    <w:charset w:val="01"/>
    <w:family w:val="roman"/>
    <w:pitch w:val="variable"/>
  </w:font>
  <w:font w:name="Verdana">
    <w:charset w:val="01"/>
    <w:family w:val="roman"/>
    <w:pitch w:val="variable"/>
  </w:font>
  <w:font w:name="Georg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abs>
        <w:tab w:val="clear" w:pos="720"/>
        <w:tab w:val="center" w:pos="4153" w:leader="none"/>
        <w:tab w:val="right" w:pos="8306" w:leader="none"/>
      </w:tabs>
      <w:spacing w:before="0" w:after="200"/>
      <w:rPr>
        <w:color w:val="000000"/>
      </w:rPr>
    </w:pPr>
    <w:r>
      <w:rPr>
        <w:color w:val="000000"/>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p>
  </w:footnote>
  <w:footnote w:id="1" w:type="continuationSeparator">
    <w:p>
      <w:pPr>
        <w:rPr>
          <w:sz w:val="12"/>
        </w:rPr>
      </w:pPr>
      <w:r/>
    </w:p>
  </w:footnote>
  <w:footnote w:id="2">
    <w:p>
      <w:pPr>
        <w:pStyle w:val="Normal"/>
        <w:keepNext w:val="false"/>
        <w:keepLines w:val="false"/>
        <w:widowControl/>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18"/>
          <w:szCs w:val="18"/>
          <w:u w:val="none"/>
          <w:vertAlign w:val="baseline"/>
        </w:rPr>
      </w:pPr>
      <w:r>
        <w:rPr>
          <w:rStyle w:val="FootnoteCharacters"/>
        </w:rPr>
        <w:footnoteRef/>
      </w:r>
      <w:r>
        <w:rPr>
          <w:rFonts w:eastAsia="Times New Roman" w:cs="Times New Roman"/>
          <w:b w:val="false"/>
          <w:i w:val="false"/>
          <w:caps w:val="false"/>
          <w:smallCaps w:val="false"/>
          <w:strike w:val="false"/>
          <w:dstrike w:val="false"/>
          <w:color w:val="000000"/>
          <w:position w:val="0"/>
          <w:sz w:val="18"/>
          <w:sz w:val="18"/>
          <w:szCs w:val="18"/>
          <w:u w:val="none"/>
          <w:shd w:fill="auto" w:val="clear"/>
          <w:vertAlign w:val="baseline"/>
        </w:rPr>
        <w:t xml:space="preserve"> </w:t>
      </w:r>
      <w:r>
        <w:rPr>
          <w:rFonts w:eastAsia="Times New Roman" w:cs="Times New Roman"/>
          <w:b w:val="false"/>
          <w:i w:val="false"/>
          <w:caps w:val="false"/>
          <w:smallCaps w:val="false"/>
          <w:strike w:val="false"/>
          <w:dstrike w:val="false"/>
          <w:color w:val="000000"/>
          <w:position w:val="0"/>
          <w:sz w:val="18"/>
          <w:sz w:val="18"/>
          <w:szCs w:val="18"/>
          <w:u w:val="none"/>
          <w:shd w:fill="auto" w:val="clear"/>
          <w:vertAlign w:val="baseline"/>
        </w:rPr>
        <w:t>Присваивается Бизнесом в CRM-системе.</w:t>
      </w:r>
    </w:p>
  </w:footnote>
  <w:footnote w:id="3">
    <w:p>
      <w:pPr>
        <w:pStyle w:val="Normal"/>
        <w:keepNext w:val="false"/>
        <w:keepLines w:val="false"/>
        <w:widowControl/>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18"/>
          <w:szCs w:val="18"/>
          <w:u w:val="none"/>
          <w:vertAlign w:val="baseline"/>
        </w:rPr>
      </w:pPr>
      <w:r>
        <w:rPr>
          <w:rStyle w:val="FootnoteCharacters"/>
        </w:rPr>
        <w:footnoteRef/>
      </w:r>
      <w:r>
        <w:rPr>
          <w:rFonts w:eastAsia="Times New Roman" w:cs="Times New Roman"/>
          <w:b w:val="false"/>
          <w:i w:val="false"/>
          <w:caps w:val="false"/>
          <w:smallCaps w:val="false"/>
          <w:strike w:val="false"/>
          <w:dstrike w:val="false"/>
          <w:color w:val="000000"/>
          <w:position w:val="0"/>
          <w:sz w:val="18"/>
          <w:sz w:val="18"/>
          <w:szCs w:val="18"/>
          <w:u w:val="none"/>
          <w:shd w:fill="auto" w:val="clear"/>
          <w:vertAlign w:val="baseline"/>
        </w:rPr>
        <w:t xml:space="preserve"> </w:t>
      </w:r>
      <w:r>
        <w:rPr>
          <w:rFonts w:eastAsia="Times New Roman" w:cs="Times New Roman"/>
          <w:b w:val="false"/>
          <w:i w:val="false"/>
          <w:caps w:val="false"/>
          <w:smallCaps w:val="false"/>
          <w:strike w:val="false"/>
          <w:dstrike w:val="false"/>
          <w:color w:val="000000"/>
          <w:position w:val="0"/>
          <w:sz w:val="18"/>
          <w:sz w:val="18"/>
          <w:szCs w:val="18"/>
          <w:u w:val="none"/>
          <w:shd w:fill="auto" w:val="clear"/>
          <w:vertAlign w:val="baseline"/>
        </w:rPr>
        <w:t>Присваивается CRM-системой автоматически.</w:t>
      </w:r>
    </w:p>
  </w:footnote>
  <w:footnote w:id="4">
    <w:p>
      <w:pPr>
        <w:pStyle w:val="Normal"/>
        <w:keepNext w:val="false"/>
        <w:keepLines w:val="false"/>
        <w:widowControl/>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18"/>
          <w:szCs w:val="18"/>
          <w:u w:val="none"/>
          <w:vertAlign w:val="baseline"/>
        </w:rPr>
      </w:pPr>
      <w:r>
        <w:rPr>
          <w:rStyle w:val="FootnoteCharacters"/>
        </w:rPr>
        <w:footnoteRef/>
      </w:r>
      <w:r>
        <w:rPr>
          <w:rFonts w:eastAsia="Times New Roman" w:cs="Times New Roman"/>
          <w:b w:val="false"/>
          <w:i w:val="false"/>
          <w:caps w:val="false"/>
          <w:smallCaps w:val="false"/>
          <w:strike w:val="false"/>
          <w:dstrike w:val="false"/>
          <w:color w:val="000000"/>
          <w:position w:val="0"/>
          <w:sz w:val="18"/>
          <w:sz w:val="18"/>
          <w:szCs w:val="18"/>
          <w:u w:val="none"/>
          <w:shd w:fill="auto" w:val="clear"/>
          <w:vertAlign w:val="baseline"/>
        </w:rPr>
        <w:t xml:space="preserve"> </w:t>
      </w:r>
      <w:r>
        <w:rPr>
          <w:rFonts w:eastAsia="Times New Roman" w:cs="Times New Roman"/>
          <w:b w:val="false"/>
          <w:i w:val="false"/>
          <w:caps w:val="false"/>
          <w:smallCaps w:val="false"/>
          <w:strike w:val="false"/>
          <w:dstrike w:val="false"/>
          <w:color w:val="000000"/>
          <w:position w:val="0"/>
          <w:sz w:val="18"/>
          <w:sz w:val="18"/>
          <w:szCs w:val="18"/>
          <w:u w:val="none"/>
          <w:shd w:fill="auto" w:val="clear"/>
          <w:vertAlign w:val="baseline"/>
        </w:rPr>
        <w:t>а) организационно-правовая форма, наименование Бизнеса, адрес из ЕГРЮЛ – для юридических лиц, либо б) статус, фамилия, имя, отчество, адрес для индивидуальных предпринимателей или самозанятых.</w:t>
      </w:r>
    </w:p>
  </w:footnote>
  <w:footnote w:id="5">
    <w:p>
      <w:pPr>
        <w:pStyle w:val="Normal"/>
        <w:keepNext w:val="false"/>
        <w:keepLines w:val="false"/>
        <w:widowControl/>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18"/>
          <w:szCs w:val="18"/>
          <w:u w:val="none"/>
          <w:vertAlign w:val="baseline"/>
        </w:rPr>
      </w:pPr>
      <w:r>
        <w:rPr>
          <w:rStyle w:val="FootnoteCharacters"/>
        </w:rPr>
        <w:footnoteRef/>
      </w:r>
      <w:r>
        <w:rPr>
          <w:rFonts w:eastAsia="Times New Roman" w:cs="Times New Roman"/>
          <w:b w:val="false"/>
          <w:i w:val="false"/>
          <w:caps w:val="false"/>
          <w:smallCaps w:val="false"/>
          <w:strike w:val="false"/>
          <w:dstrike w:val="false"/>
          <w:color w:val="000000"/>
          <w:position w:val="0"/>
          <w:sz w:val="18"/>
          <w:sz w:val="18"/>
          <w:szCs w:val="18"/>
          <w:u w:val="none"/>
          <w:shd w:fill="auto" w:val="clear"/>
          <w:vertAlign w:val="baseline"/>
        </w:rPr>
        <w:t xml:space="preserve"> </w:t>
      </w:r>
      <w:r>
        <w:rPr>
          <w:rFonts w:eastAsia="Times New Roman" w:cs="Times New Roman"/>
          <w:b w:val="false"/>
          <w:i w:val="false"/>
          <w:caps w:val="false"/>
          <w:smallCaps w:val="false"/>
          <w:strike w:val="false"/>
          <w:dstrike w:val="false"/>
          <w:color w:val="000000"/>
          <w:position w:val="0"/>
          <w:sz w:val="18"/>
          <w:sz w:val="18"/>
          <w:szCs w:val="18"/>
          <w:u w:val="none"/>
          <w:shd w:fill="auto" w:val="clear"/>
          <w:vertAlign w:val="baseline"/>
        </w:rPr>
        <w:t>Присваивается Бизнесом в CRM-системе.</w:t>
      </w:r>
    </w:p>
  </w:footnote>
  <w:footnote w:id="6">
    <w:p>
      <w:pPr>
        <w:pStyle w:val="Normal"/>
        <w:keepNext w:val="false"/>
        <w:keepLines w:val="false"/>
        <w:widowControl/>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18"/>
          <w:szCs w:val="18"/>
          <w:u w:val="none"/>
          <w:vertAlign w:val="baseline"/>
        </w:rPr>
      </w:pPr>
      <w:r>
        <w:rPr>
          <w:rStyle w:val="FootnoteCharacters"/>
        </w:rPr>
        <w:footnoteRef/>
      </w:r>
      <w:r>
        <w:rPr>
          <w:rFonts w:eastAsia="Times New Roman" w:cs="Times New Roman"/>
          <w:b w:val="false"/>
          <w:i w:val="false"/>
          <w:caps w:val="false"/>
          <w:smallCaps w:val="false"/>
          <w:strike w:val="false"/>
          <w:dstrike w:val="false"/>
          <w:color w:val="000000"/>
          <w:position w:val="0"/>
          <w:sz w:val="18"/>
          <w:sz w:val="18"/>
          <w:szCs w:val="18"/>
          <w:u w:val="none"/>
          <w:shd w:fill="auto" w:val="clear"/>
          <w:vertAlign w:val="baseline"/>
        </w:rPr>
        <w:t xml:space="preserve"> </w:t>
      </w:r>
      <w:r>
        <w:rPr>
          <w:rFonts w:eastAsia="Times New Roman" w:cs="Times New Roman"/>
          <w:b w:val="false"/>
          <w:i w:val="false"/>
          <w:caps w:val="false"/>
          <w:smallCaps w:val="false"/>
          <w:strike w:val="false"/>
          <w:dstrike w:val="false"/>
          <w:color w:val="000000"/>
          <w:position w:val="0"/>
          <w:sz w:val="18"/>
          <w:sz w:val="18"/>
          <w:szCs w:val="18"/>
          <w:u w:val="none"/>
          <w:shd w:fill="auto" w:val="clear"/>
          <w:vertAlign w:val="baseline"/>
        </w:rPr>
        <w:t>Присваивается Бизнесом в CRM-системе.</w:t>
      </w:r>
    </w:p>
  </w:footnote>
  <w:footnote w:id="7">
    <w:p>
      <w:pPr>
        <w:pStyle w:val="Normal"/>
        <w:keepNext w:val="false"/>
        <w:keepLines w:val="false"/>
        <w:widowControl/>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18"/>
          <w:szCs w:val="18"/>
          <w:u w:val="none"/>
          <w:vertAlign w:val="baseline"/>
        </w:rPr>
      </w:pPr>
      <w:r>
        <w:rPr>
          <w:rStyle w:val="FootnoteCharacters"/>
        </w:rPr>
        <w:footnoteRef/>
      </w:r>
      <w:r>
        <w:rPr>
          <w:rFonts w:eastAsia="Times New Roman" w:cs="Times New Roman"/>
          <w:b w:val="false"/>
          <w:i w:val="false"/>
          <w:caps w:val="false"/>
          <w:smallCaps w:val="false"/>
          <w:strike w:val="false"/>
          <w:dstrike w:val="false"/>
          <w:color w:val="000000"/>
          <w:position w:val="0"/>
          <w:sz w:val="18"/>
          <w:sz w:val="18"/>
          <w:szCs w:val="18"/>
          <w:u w:val="none"/>
          <w:shd w:fill="auto" w:val="clear"/>
          <w:vertAlign w:val="baseline"/>
        </w:rPr>
        <w:t xml:space="preserve"> </w:t>
      </w:r>
      <w:r>
        <w:rPr>
          <w:rFonts w:eastAsia="Times New Roman" w:cs="Times New Roman"/>
          <w:b w:val="false"/>
          <w:i w:val="false"/>
          <w:caps w:val="false"/>
          <w:smallCaps w:val="false"/>
          <w:strike w:val="false"/>
          <w:dstrike w:val="false"/>
          <w:color w:val="000000"/>
          <w:position w:val="0"/>
          <w:sz w:val="18"/>
          <w:sz w:val="18"/>
          <w:szCs w:val="18"/>
          <w:u w:val="none"/>
          <w:shd w:fill="auto" w:val="clear"/>
          <w:vertAlign w:val="baseline"/>
        </w:rPr>
        <w:t>Условия начисления Кэшбэка и процента от цены Акции устанавливается Соглашением. Проценты 1, 2-21 уровень означают начисления бонусов по Реферальной сети.</w:t>
      </w:r>
    </w:p>
  </w:footnote>
  <w:footnote w:id="8">
    <w:p>
      <w:pPr>
        <w:pStyle w:val="Normal"/>
        <w:keepNext w:val="false"/>
        <w:keepLines w:val="false"/>
        <w:widowControl/>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18"/>
          <w:szCs w:val="18"/>
          <w:u w:val="none"/>
          <w:vertAlign w:val="baseline"/>
        </w:rPr>
      </w:pPr>
      <w:r>
        <w:rPr>
          <w:rStyle w:val="FootnoteCharacters"/>
        </w:rPr>
        <w:footnoteRef/>
      </w:r>
      <w:r>
        <w:rPr>
          <w:rFonts w:eastAsia="Times New Roman" w:cs="Times New Roman"/>
          <w:b w:val="false"/>
          <w:i w:val="false"/>
          <w:caps w:val="false"/>
          <w:smallCaps w:val="false"/>
          <w:strike w:val="false"/>
          <w:dstrike w:val="false"/>
          <w:color w:val="000000"/>
          <w:position w:val="0"/>
          <w:sz w:val="18"/>
          <w:sz w:val="18"/>
          <w:szCs w:val="18"/>
          <w:u w:val="none"/>
          <w:shd w:fill="auto" w:val="clear"/>
          <w:vertAlign w:val="baseline"/>
        </w:rPr>
        <w:t xml:space="preserve"> </w:t>
      </w:r>
      <w:r>
        <w:rPr>
          <w:rFonts w:eastAsia="Times New Roman" w:cs="Times New Roman"/>
          <w:b w:val="false"/>
          <w:i w:val="false"/>
          <w:caps w:val="false"/>
          <w:smallCaps w:val="false"/>
          <w:strike w:val="false"/>
          <w:dstrike w:val="false"/>
          <w:color w:val="000000"/>
          <w:position w:val="0"/>
          <w:sz w:val="18"/>
          <w:sz w:val="18"/>
          <w:szCs w:val="18"/>
          <w:u w:val="none"/>
          <w:shd w:fill="auto" w:val="clear"/>
          <w:vertAlign w:val="baseline"/>
        </w:rPr>
        <w:t xml:space="preserve">Указываются в CRM-системе. Если не указано – действуют стандартные условия («Согласно стандартным правилам, размещенным по адресу: </w:t>
      </w:r>
      <w:hyperlink r:id="rId1">
        <w:r>
          <w:rPr>
            <w:rFonts w:eastAsia="Times New Roman" w:cs="Times New Roman"/>
            <w:b w:val="false"/>
            <w:i w:val="false"/>
            <w:caps w:val="false"/>
            <w:smallCaps w:val="false"/>
            <w:strike w:val="false"/>
            <w:dstrike w:val="false"/>
            <w:color w:val="22478B"/>
            <w:position w:val="0"/>
            <w:sz w:val="18"/>
            <w:sz w:val="18"/>
            <w:szCs w:val="18"/>
            <w:u w:val="none"/>
            <w:shd w:fill="auto" w:val="clear"/>
            <w:vertAlign w:val="baseline"/>
          </w:rPr>
          <w:t>https://adwise.cards/delivery-terms</w:t>
        </w:r>
      </w:hyperlink>
      <w:r>
        <w:rPr>
          <w:rFonts w:eastAsia="Times New Roman" w:cs="Times New Roman"/>
          <w:b w:val="false"/>
          <w:i w:val="false"/>
          <w:caps w:val="false"/>
          <w:smallCaps w:val="false"/>
          <w:strike w:val="false"/>
          <w:dstrike w:val="false"/>
          <w:color w:val="000000"/>
          <w:position w:val="0"/>
          <w:sz w:val="18"/>
          <w:sz w:val="18"/>
          <w:szCs w:val="18"/>
          <w:u w:val="none"/>
          <w:shd w:fill="auto" w:val="clear"/>
          <w:vertAlign w:val="baseline"/>
        </w:rPr>
        <w:t xml:space="preserve">). </w:t>
      </w:r>
      <w:r>
        <w:rPr>
          <w:rFonts w:eastAsia="Times New Roman" w:cs="Times New Roman"/>
          <w:b/>
          <w:i w:val="false"/>
          <w:caps w:val="false"/>
          <w:smallCaps w:val="false"/>
          <w:strike w:val="false"/>
          <w:dstrike w:val="false"/>
          <w:color w:val="FF0000"/>
          <w:position w:val="0"/>
          <w:sz w:val="18"/>
          <w:sz w:val="18"/>
          <w:szCs w:val="18"/>
          <w:u w:val="none"/>
          <w:shd w:fill="auto" w:val="clear"/>
          <w:vertAlign w:val="baseline"/>
        </w:rPr>
        <w:t>Внимание</w:t>
      </w:r>
      <w:r>
        <w:rPr>
          <w:rFonts w:eastAsia="Times New Roman" w:cs="Times New Roman"/>
          <w:b w:val="false"/>
          <w:i w:val="false"/>
          <w:caps w:val="false"/>
          <w:smallCaps w:val="false"/>
          <w:strike w:val="false"/>
          <w:dstrike w:val="false"/>
          <w:color w:val="000000"/>
          <w:position w:val="0"/>
          <w:sz w:val="18"/>
          <w:sz w:val="18"/>
          <w:szCs w:val="18"/>
          <w:u w:val="none"/>
          <w:shd w:fill="auto" w:val="clear"/>
          <w:vertAlign w:val="baseline"/>
        </w:rPr>
        <w:t>! Вне зависимости от размещения Бизнесом собственных условий доставки товаров и возврата оплаты (и содержащихся в них условий), оплата и получение Товара Бизнеса из категории «18 + » Пользователем происходит на территории Организатора Акции.</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0" w:hanging="0"/>
      </w:pPr>
      <w:rPr>
        <w:b w:val="false"/>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0" w:hanging="0"/>
      </w:pPr>
      <w:rPr>
        <w:b w:val="false"/>
      </w:rPr>
    </w:lvl>
    <w:lvl w:ilvl="1">
      <w:start w:val="1"/>
      <w:numFmt w:val="decimal"/>
      <w:lvlText w:val="%1.%2."/>
      <w:lvlJc w:val="left"/>
      <w:pPr>
        <w:tabs>
          <w:tab w:val="num" w:pos="0"/>
        </w:tabs>
        <w:ind w:left="0" w:hanging="0"/>
      </w:pPr>
      <w:rPr>
        <w:b w:val="false"/>
      </w:rPr>
    </w:lvl>
    <w:lvl w:ilvl="2">
      <w:start w:val="1"/>
      <w:numFmt w:val="decimal"/>
      <w:lvlText w:val="%1.%2.%3."/>
      <w:lvlJc w:val="left"/>
      <w:pPr>
        <w:tabs>
          <w:tab w:val="num" w:pos="0"/>
        </w:tabs>
        <w:ind w:left="0" w:hanging="0"/>
      </w:pPr>
      <w:rPr>
        <w:b w:val="false"/>
      </w:rPr>
    </w:lvl>
    <w:lvl w:ilvl="3">
      <w:start w:val="1"/>
      <w:numFmt w:val="decimal"/>
      <w:lvlText w:val="%1.%2.%3.%4."/>
      <w:lvlJc w:val="left"/>
      <w:pPr>
        <w:tabs>
          <w:tab w:val="num" w:pos="0"/>
        </w:tabs>
        <w:ind w:left="0" w:hanging="0"/>
      </w:pPr>
      <w:rPr>
        <w:b w:val="false"/>
      </w:rPr>
    </w:lvl>
    <w:lvl w:ilvl="4">
      <w:start w:val="1"/>
      <w:numFmt w:val="decimal"/>
      <w:lvlText w:val="%1.%2.%3.%4.%5."/>
      <w:lvlJc w:val="left"/>
      <w:pPr>
        <w:tabs>
          <w:tab w:val="num" w:pos="0"/>
        </w:tabs>
        <w:ind w:left="0" w:hanging="0"/>
      </w:pPr>
    </w:lvl>
    <w:lvl w:ilvl="5">
      <w:start w:val="1"/>
      <w:numFmt w:val="decimal"/>
      <w:lvlText w:val="%1.%2.%3.%4.%5.%6."/>
      <w:lvlJc w:val="left"/>
      <w:pPr>
        <w:tabs>
          <w:tab w:val="num" w:pos="0"/>
        </w:tabs>
        <w:ind w:left="0" w:hanging="0"/>
      </w:pPr>
    </w:lvl>
    <w:lvl w:ilvl="6">
      <w:start w:val="1"/>
      <w:numFmt w:val="decimal"/>
      <w:lvlText w:val="%1.%2.%3.%4.%5.%6.%7."/>
      <w:lvlJc w:val="left"/>
      <w:pPr>
        <w:tabs>
          <w:tab w:val="num" w:pos="0"/>
        </w:tabs>
        <w:ind w:left="0" w:hanging="0"/>
      </w:pPr>
    </w:lvl>
    <w:lvl w:ilvl="7">
      <w:start w:val="1"/>
      <w:numFmt w:val="decimal"/>
      <w:lvlText w:val="%1.%2.%3.%4.%5.%6.%7.%8."/>
      <w:lvlJc w:val="left"/>
      <w:pPr>
        <w:tabs>
          <w:tab w:val="num" w:pos="0"/>
        </w:tabs>
        <w:ind w:left="0" w:hanging="0"/>
      </w:pPr>
    </w:lvl>
    <w:lvl w:ilvl="8">
      <w:start w:val="1"/>
      <w:numFmt w:val="decimal"/>
      <w:lvlText w:val="%1.%2.%3.%4.%5.%6.%7.%8.%9."/>
      <w:lvlJc w:val="left"/>
      <w:pPr>
        <w:tabs>
          <w:tab w:val="num" w:pos="0"/>
        </w:tabs>
        <w:ind w:left="0" w:hanging="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20"/>
  <w:autoHyphenation w:val="true"/>
  <w:footnotePr>
    <w:numFmt w:val="decimal"/>
    <w:footnote w:id="0"/>
    <w:footnote w:id="1"/>
  </w:footnotePr>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Lohit Devanagari"/>
        <w:sz w:val="24"/>
        <w:szCs w:val="24"/>
        <w:lang w:val="ru-RU" w:eastAsia="zh-CN" w:bidi="hi-IN"/>
      </w:rPr>
    </w:rPrDefault>
    <w:pPrDefault>
      <w:pPr>
        <w:suppressAutoHyphens w:val="true"/>
      </w:pPr>
    </w:pPrDefault>
  </w:docDefaults>
  <w:style w:type="paragraph" w:styleId="Normal" w:default="1">
    <w:name w:val="Normal"/>
    <w:qFormat/>
    <w:rsid w:val="004740d2"/>
    <w:pPr>
      <w:widowControl/>
      <w:bidi w:val="0"/>
      <w:spacing w:lineRule="auto" w:line="276" w:before="0" w:after="200"/>
      <w:jc w:val="left"/>
    </w:pPr>
    <w:rPr>
      <w:rFonts w:ascii="Times New Roman" w:hAnsi="Times New Roman" w:eastAsia="Noto Serif CJK SC" w:cs="Lohit Devanagari"/>
      <w:color w:val="auto"/>
      <w:kern w:val="0"/>
      <w:sz w:val="24"/>
      <w:szCs w:val="24"/>
      <w:lang w:val="ru-RU" w:eastAsia="zh-CN" w:bidi="hi-IN"/>
    </w:rPr>
  </w:style>
  <w:style w:type="paragraph" w:styleId="Heading1">
    <w:name w:val="Heading 1"/>
    <w:basedOn w:val="Normal"/>
    <w:next w:val="Normal"/>
    <w:link w:val="10"/>
    <w:qFormat/>
    <w:pPr>
      <w:keepLines/>
      <w:spacing w:before="0" w:after="240"/>
      <w:outlineLvl w:val="0"/>
    </w:pPr>
    <w:rPr>
      <w:lang w:val="en-US"/>
    </w:rPr>
  </w:style>
  <w:style w:type="paragraph" w:styleId="Heading2">
    <w:name w:val="Heading 2"/>
    <w:basedOn w:val="Normal"/>
    <w:next w:val="Normal"/>
    <w:qFormat/>
    <w:pPr>
      <w:keepNext w:val="true"/>
      <w:outlineLvl w:val="1"/>
    </w:pPr>
    <w:rPr>
      <w:rFonts w:ascii="Arial" w:hAnsi="Arial"/>
      <w:b/>
      <w:lang w:val="en-US"/>
    </w:rPr>
  </w:style>
  <w:style w:type="paragraph" w:styleId="Heading3">
    <w:name w:val="Heading 3"/>
    <w:basedOn w:val="Normal"/>
    <w:next w:val="Normal"/>
    <w:link w:val="30"/>
    <w:unhideWhenUsed/>
    <w:qFormat/>
    <w:pPr>
      <w:keepNext w:val="true"/>
      <w:spacing w:before="240" w:after="60"/>
      <w:outlineLvl w:val="2"/>
    </w:pPr>
    <w:rPr>
      <w:rFonts w:ascii="Cambria" w:hAnsi="Cambria"/>
      <w:b/>
      <w:bCs/>
      <w:sz w:val="26"/>
      <w:szCs w:val="26"/>
    </w:rPr>
  </w:style>
  <w:style w:type="paragraph" w:styleId="Heading4">
    <w:name w:val="Heading 4"/>
    <w:basedOn w:val="Normal"/>
    <w:next w:val="Normal"/>
    <w:link w:val="40"/>
    <w:uiPriority w:val="9"/>
    <w:semiHidden/>
    <w:unhideWhenUsed/>
    <w:qFormat/>
    <w:pPr>
      <w:keepNext w:val="true"/>
      <w:spacing w:before="240" w:after="60"/>
      <w:outlineLvl w:val="3"/>
    </w:pPr>
    <w:rPr>
      <w:rFonts w:ascii="Calibri" w:hAnsi="Calibri"/>
      <w:b/>
      <w:bCs/>
      <w:sz w:val="28"/>
      <w:szCs w:val="28"/>
    </w:rPr>
  </w:style>
  <w:style w:type="paragraph" w:styleId="Heading5">
    <w:name w:val="Heading 5"/>
    <w:basedOn w:val="Normal"/>
    <w:next w:val="Normal"/>
    <w:qFormat/>
    <w:pPr>
      <w:keepNext w:val="true"/>
      <w:keepLines/>
      <w:spacing w:before="220" w:after="40"/>
      <w:outlineLvl w:val="4"/>
    </w:pPr>
    <w:rPr>
      <w:b/>
      <w:sz w:val="22"/>
      <w:szCs w:val="22"/>
    </w:rPr>
  </w:style>
  <w:style w:type="paragraph" w:styleId="Heading6">
    <w:name w:val="Heading 6"/>
    <w:basedOn w:val="Normal"/>
    <w:next w:val="Normal"/>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VisitedInternetLink">
    <w:name w:val="FollowedHyperlink"/>
    <w:qFormat/>
    <w:rPr>
      <w:color w:val="800080"/>
      <w:u w:val="single"/>
    </w:rPr>
  </w:style>
  <w:style w:type="character" w:styleId="Annotationreference">
    <w:name w:val="annotation reference"/>
    <w:uiPriority w:val="99"/>
    <w:qFormat/>
    <w:rPr>
      <w:sz w:val="16"/>
      <w:szCs w:val="16"/>
    </w:rPr>
  </w:style>
  <w:style w:type="character" w:styleId="InternetLink">
    <w:name w:val="Hyperlink"/>
    <w:semiHidden/>
    <w:qFormat/>
    <w:rPr>
      <w:color w:val="22478B"/>
      <w:u w:val="none"/>
    </w:rPr>
  </w:style>
  <w:style w:type="character" w:styleId="Pagenumber">
    <w:name w:val="page number"/>
    <w:basedOn w:val="DefaultParagraphFont"/>
    <w:uiPriority w:val="99"/>
    <w:qFormat/>
    <w:rPr/>
  </w:style>
  <w:style w:type="character" w:styleId="Iauiue" w:customStyle="1">
    <w:name w:val="Iau?iue Знак Знак Знак Знак Знак Знак Знак"/>
    <w:link w:val="Iauiue"/>
    <w:qFormat/>
    <w:rPr>
      <w:lang w:val="ru-RU" w:eastAsia="ru-RU" w:bidi="ar-SA"/>
    </w:rPr>
  </w:style>
  <w:style w:type="character" w:styleId="Style8" w:customStyle="1">
    <w:name w:val="Основной текст с отступом Знак"/>
    <w:link w:val="ac"/>
    <w:qFormat/>
    <w:rPr>
      <w:lang w:val="ru-RU" w:eastAsia="en-US" w:bidi="ar-SA"/>
    </w:rPr>
  </w:style>
  <w:style w:type="character" w:styleId="Style9" w:customStyle="1">
    <w:name w:val="Нижний колонтитул Знак"/>
    <w:basedOn w:val="DefaultParagraphFont"/>
    <w:link w:val="ae"/>
    <w:qFormat/>
    <w:rPr/>
  </w:style>
  <w:style w:type="character" w:styleId="Style10" w:customStyle="1">
    <w:name w:val="Текст примечания Знак"/>
    <w:link w:val="a5"/>
    <w:uiPriority w:val="99"/>
    <w:qFormat/>
    <w:rPr>
      <w:lang w:eastAsia="en-US"/>
    </w:rPr>
  </w:style>
  <w:style w:type="character" w:styleId="Style11" w:customStyle="1">
    <w:name w:val="Тема примечания Знак"/>
    <w:link w:val="a7"/>
    <w:qFormat/>
    <w:rPr>
      <w:b/>
      <w:bCs/>
      <w:lang w:eastAsia="en-US"/>
    </w:rPr>
  </w:style>
  <w:style w:type="character" w:styleId="3" w:customStyle="1">
    <w:name w:val="Заголовок 3 Знак"/>
    <w:link w:val="3"/>
    <w:qFormat/>
    <w:rPr>
      <w:rFonts w:ascii="Cambria" w:hAnsi="Cambria" w:eastAsia="Times New Roman" w:cs="Times New Roman"/>
      <w:b/>
      <w:bCs/>
      <w:sz w:val="26"/>
      <w:szCs w:val="26"/>
      <w:lang w:eastAsia="en-US"/>
    </w:rPr>
  </w:style>
  <w:style w:type="character" w:styleId="4" w:customStyle="1">
    <w:name w:val="Заголовок 4 Знак"/>
    <w:link w:val="4"/>
    <w:uiPriority w:val="9"/>
    <w:semiHidden/>
    <w:qFormat/>
    <w:rPr>
      <w:rFonts w:ascii="Calibri" w:hAnsi="Calibri"/>
      <w:b/>
      <w:bCs/>
      <w:sz w:val="28"/>
      <w:szCs w:val="28"/>
    </w:rPr>
  </w:style>
  <w:style w:type="character" w:styleId="Style12" w:customStyle="1">
    <w:name w:val="Верхний колонтитул Знак"/>
    <w:link w:val="a9"/>
    <w:qFormat/>
    <w:rPr>
      <w:rFonts w:eastAsia="SimSun"/>
      <w:sz w:val="24"/>
      <w:szCs w:val="24"/>
      <w:lang w:eastAsia="zh-CN"/>
    </w:rPr>
  </w:style>
  <w:style w:type="character" w:styleId="WW8Num3z0" w:customStyle="1">
    <w:name w:val="WW8Num3z0"/>
    <w:qFormat/>
    <w:rPr>
      <w:rFonts w:ascii="Symbol" w:hAnsi="Symbol"/>
    </w:rPr>
  </w:style>
  <w:style w:type="character" w:styleId="Appleconvertedspace" w:customStyle="1">
    <w:name w:val="apple-converted-space"/>
    <w:qFormat/>
    <w:rPr>
      <w:lang w:val="ru-RU"/>
    </w:rPr>
  </w:style>
  <w:style w:type="character" w:styleId="Appletabspan" w:customStyle="1">
    <w:name w:val="apple-tab-span"/>
    <w:basedOn w:val="DefaultParagraphFont"/>
    <w:qFormat/>
    <w:rPr/>
  </w:style>
  <w:style w:type="character" w:styleId="1" w:customStyle="1">
    <w:name w:val="Неразрешенное упоминание1"/>
    <w:uiPriority w:val="99"/>
    <w:semiHidden/>
    <w:unhideWhenUsed/>
    <w:qFormat/>
    <w:rPr>
      <w:color w:val="808080"/>
      <w:shd w:fill="E6E6E6" w:val="clear"/>
    </w:rPr>
  </w:style>
  <w:style w:type="character" w:styleId="Style13" w:customStyle="1">
    <w:name w:val="Заголовок Знак"/>
    <w:link w:val="11"/>
    <w:uiPriority w:val="10"/>
    <w:qFormat/>
    <w:rPr>
      <w:b/>
      <w:lang w:eastAsia="en-US"/>
    </w:rPr>
  </w:style>
  <w:style w:type="character" w:styleId="11" w:customStyle="1">
    <w:name w:val="Заголовок 1 Знак"/>
    <w:link w:val="1"/>
    <w:qFormat/>
    <w:rPr>
      <w:sz w:val="24"/>
      <w:lang w:val="en-US"/>
    </w:rPr>
  </w:style>
  <w:style w:type="character" w:styleId="Style14" w:customStyle="1">
    <w:name w:val="Текст сноски Знак"/>
    <w:basedOn w:val="DefaultParagraphFont"/>
    <w:link w:val="afe"/>
    <w:uiPriority w:val="99"/>
    <w:semiHidden/>
    <w:qFormat/>
    <w:rsid w:val="00982433"/>
    <w:rPr>
      <w:sz w:val="20"/>
      <w:szCs w:val="20"/>
    </w:rPr>
  </w:style>
  <w:style w:type="character" w:styleId="FootnoteCharacters">
    <w:name w:val="Footnote Characters"/>
    <w:basedOn w:val="DefaultParagraphFont"/>
    <w:uiPriority w:val="99"/>
    <w:semiHidden/>
    <w:unhideWhenUsed/>
    <w:qFormat/>
    <w:rsid w:val="00982433"/>
    <w:rPr>
      <w:vertAlign w:val="superscript"/>
    </w:rPr>
  </w:style>
  <w:style w:type="character" w:styleId="FootnoteAnchor">
    <w:name w:val="Footnote Anchor"/>
    <w:rPr>
      <w:vertAlign w:val="superscrip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qFormat/>
    <w:pPr>
      <w:jc w:val="both"/>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200"/>
      <w:jc w:val="left"/>
    </w:pPr>
    <w:rPr>
      <w:rFonts w:ascii="Times New Roman" w:hAnsi="Times New Roman" w:eastAsia="Noto Serif CJK SC" w:cs="Lohit Devanagari"/>
      <w:color w:val="auto"/>
      <w:kern w:val="0"/>
      <w:sz w:val="24"/>
      <w:szCs w:val="24"/>
      <w:lang w:val="ru-RU" w:eastAsia="zh-CN" w:bidi="hi-IN"/>
    </w:rPr>
  </w:style>
  <w:style w:type="paragraph" w:styleId="Title">
    <w:name w:val="Title"/>
    <w:basedOn w:val="Normal"/>
    <w:next w:val="Normal"/>
    <w:qFormat/>
    <w:pPr>
      <w:keepNext w:val="true"/>
      <w:keepLines/>
      <w:spacing w:before="480" w:after="120"/>
    </w:pPr>
    <w:rPr>
      <w:b/>
      <w:sz w:val="72"/>
      <w:szCs w:val="72"/>
    </w:rPr>
  </w:style>
  <w:style w:type="paragraph" w:styleId="BalloonText">
    <w:name w:val="Balloon Text"/>
    <w:basedOn w:val="Normal"/>
    <w:semiHidden/>
    <w:qFormat/>
    <w:pPr/>
    <w:rPr>
      <w:rFonts w:ascii="Tahoma" w:hAnsi="Tahoma" w:cs="Tahoma"/>
      <w:sz w:val="16"/>
      <w:szCs w:val="16"/>
    </w:rPr>
  </w:style>
  <w:style w:type="paragraph" w:styleId="BodyText2">
    <w:name w:val="Body Text 2"/>
    <w:basedOn w:val="Normal"/>
    <w:qFormat/>
    <w:pPr>
      <w:jc w:val="both"/>
    </w:pPr>
    <w:rPr/>
  </w:style>
  <w:style w:type="paragraph" w:styleId="Annotationtext">
    <w:name w:val="annotation text"/>
    <w:basedOn w:val="Normal"/>
    <w:link w:val="a6"/>
    <w:uiPriority w:val="99"/>
    <w:qFormat/>
    <w:pPr/>
    <w:rPr/>
  </w:style>
  <w:style w:type="paragraph" w:styleId="Annotationsubject">
    <w:name w:val="annotation subject"/>
    <w:basedOn w:val="Annotationtext"/>
    <w:next w:val="Annotationtext"/>
    <w:link w:val="a8"/>
    <w:qFormat/>
    <w:pPr/>
    <w:rPr>
      <w:b/>
      <w:bCs/>
    </w:rPr>
  </w:style>
  <w:style w:type="paragraph" w:styleId="HeaderandFooter">
    <w:name w:val="Header and Footer"/>
    <w:basedOn w:val="Normal"/>
    <w:qFormat/>
    <w:pPr/>
    <w:rPr/>
  </w:style>
  <w:style w:type="paragraph" w:styleId="Header">
    <w:name w:val="Header"/>
    <w:basedOn w:val="Normal"/>
    <w:link w:val="aa"/>
    <w:qFormat/>
    <w:pPr>
      <w:tabs>
        <w:tab w:val="clear" w:pos="720"/>
        <w:tab w:val="center" w:pos="4677" w:leader="none"/>
        <w:tab w:val="right" w:pos="9355" w:leader="none"/>
      </w:tabs>
    </w:pPr>
    <w:rPr>
      <w:rFonts w:eastAsia="SimSun"/>
      <w:lang w:eastAsia="zh-CN"/>
    </w:rPr>
  </w:style>
  <w:style w:type="paragraph" w:styleId="TextBodyIndent">
    <w:name w:val="Body Text Indent"/>
    <w:basedOn w:val="Normal"/>
    <w:link w:val="ad"/>
    <w:qFormat/>
    <w:pPr>
      <w:spacing w:before="0" w:after="120"/>
      <w:ind w:left="283" w:hanging="0"/>
    </w:pPr>
    <w:rPr/>
  </w:style>
  <w:style w:type="paragraph" w:styleId="Footer">
    <w:name w:val="Footer"/>
    <w:basedOn w:val="Normal"/>
    <w:link w:val="af"/>
    <w:qFormat/>
    <w:pPr>
      <w:tabs>
        <w:tab w:val="clear" w:pos="720"/>
        <w:tab w:val="center" w:pos="4153" w:leader="none"/>
        <w:tab w:val="right" w:pos="8306" w:leader="none"/>
      </w:tabs>
    </w:pPr>
    <w:rPr/>
  </w:style>
  <w:style w:type="paragraph" w:styleId="NormalWeb">
    <w:name w:val="Normal (Web)"/>
    <w:basedOn w:val="Normal"/>
    <w:uiPriority w:val="99"/>
    <w:unhideWhenUsed/>
    <w:qFormat/>
    <w:pPr>
      <w:spacing w:beforeAutospacing="1" w:afterAutospacing="1"/>
    </w:pPr>
    <w:rPr/>
  </w:style>
  <w:style w:type="paragraph" w:styleId="12" w:customStyle="1">
    <w:name w:val="Заголовок1"/>
    <w:basedOn w:val="Normal"/>
    <w:link w:val="af6"/>
    <w:uiPriority w:val="10"/>
    <w:qFormat/>
    <w:pPr>
      <w:jc w:val="center"/>
    </w:pPr>
    <w:rPr>
      <w:b/>
    </w:rPr>
  </w:style>
  <w:style w:type="paragraph" w:styleId="Style15" w:customStyle="1">
    <w:name w:val="Знак Знак Знак Знак Знак Знак Знак Знак Знак Знак Знак Знак Знак Знак Знак"/>
    <w:basedOn w:val="Normal"/>
    <w:qFormat/>
    <w:pPr>
      <w:spacing w:lineRule="exact" w:line="240" w:before="0" w:after="160"/>
    </w:pPr>
    <w:rPr>
      <w:rFonts w:ascii="Verdana" w:hAnsi="Verdana"/>
      <w:lang w:val="en-US"/>
    </w:rPr>
  </w:style>
  <w:style w:type="paragraph" w:styleId="Iauiue1" w:customStyle="1">
    <w:name w:val="Iau?iue Знак Знак Знак Знак Знак Знак"/>
    <w:link w:val="Iauiue0"/>
    <w:qFormat/>
    <w:pPr>
      <w:widowControl w:val="false"/>
      <w:bidi w:val="0"/>
      <w:spacing w:lineRule="auto" w:line="276" w:before="0" w:after="200"/>
      <w:jc w:val="left"/>
    </w:pPr>
    <w:rPr>
      <w:rFonts w:ascii="Times New Roman" w:hAnsi="Times New Roman" w:eastAsia="Noto Serif CJK SC" w:cs="Lohit Devanagari"/>
      <w:color w:val="auto"/>
      <w:kern w:val="0"/>
      <w:sz w:val="24"/>
      <w:szCs w:val="24"/>
      <w:lang w:val="ru-RU" w:eastAsia="zh-CN" w:bidi="hi-IN"/>
    </w:rPr>
  </w:style>
  <w:style w:type="paragraph" w:styleId="Iauiue11" w:customStyle="1">
    <w:name w:val="Iau?iue1"/>
    <w:qFormat/>
    <w:pPr>
      <w:widowControl w:val="false"/>
      <w:bidi w:val="0"/>
      <w:spacing w:lineRule="auto" w:line="276" w:before="0" w:after="200"/>
      <w:jc w:val="left"/>
    </w:pPr>
    <w:rPr>
      <w:rFonts w:ascii="Times New Roman" w:hAnsi="Times New Roman" w:eastAsia="Noto Serif CJK SC" w:cs="Lohit Devanagari"/>
      <w:color w:val="auto"/>
      <w:kern w:val="0"/>
      <w:sz w:val="24"/>
      <w:szCs w:val="24"/>
      <w:lang w:val="ru-RU" w:eastAsia="zh-CN" w:bidi="hi-IN"/>
    </w:rPr>
  </w:style>
  <w:style w:type="paragraph" w:styleId="Style16" w:customStyle="1">
    <w:name w:val="Основной шрифт абзаца Знак Знак Знак Знак Знак Знак"/>
    <w:basedOn w:val="Normal"/>
    <w:qFormat/>
    <w:pPr>
      <w:spacing w:lineRule="exact" w:line="240" w:before="0" w:after="160"/>
    </w:pPr>
    <w:rPr>
      <w:rFonts w:ascii="Verdana" w:hAnsi="Verdana"/>
      <w:lang w:val="en-US"/>
    </w:rPr>
  </w:style>
  <w:style w:type="paragraph" w:styleId="Iacaaiea" w:customStyle="1">
    <w:name w:val="Iacaaiea"/>
    <w:basedOn w:val="Normal"/>
    <w:qFormat/>
    <w:pPr>
      <w:widowControl w:val="false"/>
      <w:tabs>
        <w:tab w:val="clear" w:pos="720"/>
        <w:tab w:val="left" w:pos="4536" w:leader="none"/>
      </w:tabs>
      <w:spacing w:lineRule="atLeast" w:line="240"/>
      <w:jc w:val="center"/>
    </w:pPr>
    <w:rPr>
      <w:b/>
    </w:rPr>
  </w:style>
  <w:style w:type="paragraph" w:styleId="13" w:customStyle="1">
    <w:name w:val="Абзац списка1"/>
    <w:basedOn w:val="Normal"/>
    <w:qFormat/>
    <w:pPr>
      <w:spacing w:before="0" w:after="200"/>
      <w:ind w:left="720" w:hanging="0"/>
      <w:contextualSpacing/>
    </w:pPr>
    <w:rPr>
      <w:rFonts w:ascii="Cambria" w:hAnsi="Cambria"/>
      <w:lang w:val="en-US"/>
    </w:rPr>
  </w:style>
  <w:style w:type="paragraph" w:styleId="Style17" w:customStyle="1">
    <w:name w:val="Знак Знак Знак Знак Знак Знак Знак Знак Знак"/>
    <w:basedOn w:val="Normal"/>
    <w:qFormat/>
    <w:pPr>
      <w:spacing w:lineRule="exact" w:line="240" w:before="0" w:after="160"/>
    </w:pPr>
    <w:rPr>
      <w:rFonts w:ascii="Verdana" w:hAnsi="Verdana"/>
      <w:lang w:val="en-US"/>
    </w:rPr>
  </w:style>
  <w:style w:type="paragraph" w:styleId="NoSpacing">
    <w:name w:val="No Spacing"/>
    <w:uiPriority w:val="1"/>
    <w:qFormat/>
    <w:pPr>
      <w:widowControl/>
      <w:bidi w:val="0"/>
      <w:spacing w:lineRule="auto" w:line="276" w:before="0" w:after="200"/>
      <w:jc w:val="left"/>
    </w:pPr>
    <w:rPr>
      <w:rFonts w:ascii="Times New Roman" w:hAnsi="Times New Roman" w:eastAsia="Noto Serif CJK SC" w:cs="Lohit Devanagari"/>
      <w:color w:val="auto"/>
      <w:kern w:val="0"/>
      <w:sz w:val="24"/>
      <w:szCs w:val="24"/>
      <w:lang w:val="ru-RU" w:eastAsia="zh-CN" w:bidi="hi-IN"/>
    </w:rPr>
  </w:style>
  <w:style w:type="paragraph" w:styleId="ListParagraph">
    <w:name w:val="List Paragraph"/>
    <w:basedOn w:val="Normal"/>
    <w:qFormat/>
    <w:pPr>
      <w:spacing w:before="0" w:after="200"/>
      <w:ind w:left="720" w:hanging="0"/>
      <w:contextualSpacing/>
    </w:pPr>
    <w:rPr/>
  </w:style>
  <w:style w:type="paragraph" w:styleId="ConsPlusNormal" w:customStyle="1">
    <w:name w:val="ConsPlusNormal"/>
    <w:uiPriority w:val="99"/>
    <w:qFormat/>
    <w:pPr>
      <w:widowControl w:val="false"/>
      <w:bidi w:val="0"/>
      <w:spacing w:lineRule="auto" w:line="276" w:before="0" w:after="200"/>
      <w:ind w:firstLine="720"/>
      <w:jc w:val="left"/>
    </w:pPr>
    <w:rPr>
      <w:rFonts w:ascii="Arial" w:hAnsi="Arial" w:cs="Arial" w:eastAsia="Noto Serif CJK SC"/>
      <w:color w:val="auto"/>
      <w:kern w:val="0"/>
      <w:sz w:val="24"/>
      <w:szCs w:val="24"/>
      <w:lang w:val="ru-RU" w:eastAsia="zh-CN" w:bidi="hi-IN"/>
    </w:rPr>
  </w:style>
  <w:style w:type="paragraph" w:styleId="M7371292530830450195msolistparagraph" w:customStyle="1">
    <w:name w:val="m_-7371292530830450195msolistparagraph"/>
    <w:basedOn w:val="Normal"/>
    <w:qFormat/>
    <w:pPr>
      <w:spacing w:beforeAutospacing="1" w:afterAutospacing="1"/>
    </w:pPr>
    <w:rPr>
      <w:rFonts w:ascii="Calibri" w:hAnsi="Calibri" w:eastAsia="Calibri" w:cs="Calibri"/>
      <w:sz w:val="22"/>
      <w:szCs w:val="22"/>
    </w:rPr>
  </w:style>
  <w:style w:type="paragraph" w:styleId="14" w:customStyle="1">
    <w:name w:val="Рецензия1"/>
    <w:uiPriority w:val="99"/>
    <w:semiHidden/>
    <w:qFormat/>
    <w:pPr>
      <w:widowControl/>
      <w:bidi w:val="0"/>
      <w:spacing w:lineRule="auto" w:line="276" w:before="0" w:after="200"/>
      <w:jc w:val="left"/>
    </w:pPr>
    <w:rPr>
      <w:rFonts w:ascii="Times New Roman" w:hAnsi="Times New Roman" w:eastAsia="Noto Serif CJK SC" w:cs="Lohit Devanagari"/>
      <w:color w:val="auto"/>
      <w:kern w:val="0"/>
      <w:sz w:val="24"/>
      <w:szCs w:val="24"/>
      <w:lang w:eastAsia="en-US" w:val="ru-RU" w:bidi="hi-IN"/>
    </w:rPr>
  </w:style>
  <w:style w:type="paragraph" w:styleId="BlockText1" w:customStyle="1">
    <w:name w:val="Block Text1"/>
    <w:basedOn w:val="Normal"/>
    <w:qFormat/>
    <w:pPr>
      <w:widowControl w:val="false"/>
      <w:ind w:left="-113" w:right="-341" w:hanging="0"/>
      <w:jc w:val="center"/>
    </w:pPr>
    <w:rPr>
      <w:b/>
      <w:sz w:val="28"/>
      <w:szCs w:val="20"/>
    </w:rPr>
  </w:style>
  <w:style w:type="paragraph" w:styleId="Revision">
    <w:name w:val="Revision"/>
    <w:uiPriority w:val="99"/>
    <w:unhideWhenUsed/>
    <w:qFormat/>
    <w:rsid w:val="00d45884"/>
    <w:pPr>
      <w:widowControl/>
      <w:bidi w:val="0"/>
      <w:spacing w:lineRule="auto" w:line="240" w:before="0" w:after="0"/>
      <w:jc w:val="left"/>
    </w:pPr>
    <w:rPr>
      <w:rFonts w:ascii="Times New Roman" w:hAnsi="Times New Roman" w:eastAsia="Noto Serif CJK SC" w:cs="Lohit Devanagari"/>
      <w:color w:val="auto"/>
      <w:kern w:val="0"/>
      <w:sz w:val="24"/>
      <w:szCs w:val="24"/>
      <w:lang w:val="ru-RU" w:eastAsia="zh-CN" w:bidi="hi-IN"/>
    </w:rPr>
  </w:style>
  <w:style w:type="paragraph" w:styleId="Subtitle">
    <w:name w:val="Subtitle"/>
    <w:basedOn w:val="Normal1"/>
    <w:next w:val="Normal1"/>
    <w:qFormat/>
    <w:pPr>
      <w:keepNext w:val="true"/>
      <w:keepLines/>
      <w:spacing w:lineRule="auto" w:line="240" w:before="360" w:after="80"/>
    </w:pPr>
    <w:rPr>
      <w:rFonts w:ascii="Georgia" w:hAnsi="Georgia" w:eastAsia="Georgia" w:cs="Georgia"/>
      <w:i/>
      <w:color w:val="666666"/>
      <w:sz w:val="48"/>
      <w:szCs w:val="48"/>
    </w:rPr>
  </w:style>
  <w:style w:type="paragraph" w:styleId="Footnote">
    <w:name w:val="Footnote Text"/>
    <w:basedOn w:val="Normal"/>
    <w:link w:val="aff"/>
    <w:uiPriority w:val="99"/>
    <w:semiHidden/>
    <w:unhideWhenUsed/>
    <w:rsid w:val="00982433"/>
    <w:pPr>
      <w:spacing w:lineRule="auto" w:line="240" w:before="0" w:after="0"/>
    </w:pPr>
    <w:rPr>
      <w:sz w:val="20"/>
      <w:szCs w:val="20"/>
    </w:rPr>
  </w:style>
  <w:style w:type="numbering" w:styleId="NoList" w:default="1">
    <w:name w:val="No List"/>
    <w:uiPriority w:val="99"/>
    <w:semiHidden/>
    <w:unhideWhenUsed/>
    <w:qFormat/>
  </w:style>
  <w:style w:type="table" w:default="1" w:styleId="TableNormal">
    <w:name w:val="Table Normal"/>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styleId="af5">
    <w:name w:val="Table Grid"/>
    <w:basedOn w:val="a1"/>
    <w:unhideWhenUsed/>
    <w:qFormat/>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dwise.cards/user-agreement" TargetMode="External"/><Relationship Id="rId3" Type="http://schemas.openxmlformats.org/officeDocument/2006/relationships/hyperlink" Target="https://adwise.cards/delivery-terms" TargetMode="External"/><Relationship Id="rId4" Type="http://schemas.openxmlformats.org/officeDocument/2006/relationships/footer" Target="footer1.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adwise.cards/delivery-terms" TargetMode="Externa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hxUZgB6omyVXz4wgyFo+N5FwuQNQ==">AMUW2mUUbRjeVg1PNiBMMFBavRCpv2B1/pOG1EyvfVUokOnFtUcRcWakSImSqpE9T0S1u4vhSNr4jRKXI0p6gASXIm1tnRV6NNtqRPSQQfEgz1bKd2hZOnf5MCFZRCBvcAXd4OJ+tcOw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19</TotalTime>
  <Application>LibreOffice/6.4.6.2$Linux_X86_64 LibreOffice_project/40$Build-2</Application>
  <Pages>3</Pages>
  <Words>1450</Words>
  <Characters>10529</Characters>
  <CharactersWithSpaces>11881</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2021-06-21T16:37:00Z</dcterms:created>
  <dc:creator>Малейкин М.А.;89377916789</dc:creator>
  <dc:description/>
  <dc:language>en-US</dc:language>
  <cp:lastModifiedBy/>
  <dcterms:modified xsi:type="dcterms:W3CDTF">2021-07-09T12:28:13Z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1049-11.2.0.8339</vt:lpwstr>
  </property>
</Properties>
</file>