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bCs w:val="1"/>
          <w:sz w:val="42"/>
          <w:szCs w:val="42"/>
          <w:rtl w:val="0"/>
        </w:rPr>
        <w:t xml:space="preserve">Manmeet Singh Kapoor, COO, Velloni</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Calibri" w:cs="Calibri" w:eastAsia="Calibri" w:hAnsi="Calibri"/>
          <w:sz w:val="24"/>
          <w:szCs w:val="24"/>
          <w:rtl w:val="0"/>
        </w:rPr>
        <w:t xml:space="preserve">Hi, it has been a pleasure to be working with Adya.ai, Shayak and his team. They have been really wonderful in building up this concept of where an AI agent builds AI agents for you. We have worked with them in the financial sector, one of the processes in that, and the response of the team, both on the professional front and the technical front, has been far exceeding the expectation that I had with them.</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Calibri" w:cs="Calibri" w:eastAsia="Calibri" w:hAnsi="Calibri"/>
          <w:sz w:val="24"/>
          <w:szCs w:val="24"/>
          <w:rtl w:val="0"/>
        </w:rPr>
        <w:t xml:space="preserve">This dynamic and young team, I'm sure Shayak and his team will take the journey far ahead than most of the people that are in India at the moment. I wish him and his team the very best of luck. Thank you.</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dTQDFL6h1c1xAdvysxAhRmQPBQ==">CgMxLjA4AHIhMTFTTjQ5TDNiSWNUd3BXbnc1T2p0QXhWN1VtZjB2aDJC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