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Ravi Srinivasan - CEO, AI Intelekt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sz w:val="24"/>
          <w:szCs w:val="24"/>
          <w:rtl w:val="0"/>
        </w:rPr>
        <w:t xml:space="preserve">Hi, this is Ravi. I just want to share a quick note about why I really like what the team at Adya.ai is building. Adya is one of the rare companies that's moving beyond the one-task, one-agent mindset and they're creating a full ecosystem of multi-agent and enterprise-grade AI.</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sz w:val="24"/>
          <w:szCs w:val="24"/>
          <w:rtl w:val="0"/>
        </w:rPr>
        <w:t xml:space="preserve">Something that with the right execution could genuinely become the foundational layer of business AI in the years to come. Here's what excites me the most about that vision. While everyone is busy building a single-purpose agent, Adia is focused on building the infrastructure and the tooling layer, giving enterprise and developers the power to build complex multi-agent workflows.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As Shayak has said himself, we will not build agents because there's no mode in building agents. And that perspective particularly stood out for me because it's long-term, it's strategic and it's bold. And some of the architectures are very smart that they've built their multi-agent network and adaptive learning protocol is something that allows the system to be scalable and ready for serious enterprise use, where multiple intelligent agents can work together and still follow a set of business rules.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KNM4YGyFYj3kjZ7E0X+zSfA8g==">CgMxLjA4AHIhMVkzUl96eWhsTm9lRnR5UmlMdS0zYkQzbWN6c1lJc2VX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