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Sebelum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setelah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PSNR</w:t>
            </w:r>
          </w:p>
        </w:tc>
        <w:tc>
          <w:tcPr>
            <w:tcW w:type="dxa" w:w="1728"/>
          </w:tcPr>
          <w:p>
            <w:r>
              <w:t>SSIM</w:t>
            </w:r>
          </w:p>
        </w:tc>
        <w:tc>
          <w:tcPr>
            <w:tcW w:type="dxa" w:w="1728"/>
          </w:tcPr>
          <w:p>
            <w:r>
              <w:t>PSNR</w:t>
            </w:r>
          </w:p>
        </w:tc>
        <w:tc>
          <w:tcPr>
            <w:tcW w:type="dxa" w:w="1728"/>
          </w:tcPr>
          <w:p>
            <w:r>
              <w:t>SSIM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56.48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56.36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56.19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56.51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55.38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56.25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55.59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56.45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56.06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56.4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55.51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56.27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55.73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56.33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56.57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56.45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55.33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56.36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55.32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56.22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55.41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56.29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55.39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56.3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55.66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56.31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55.37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56.39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55.7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56.39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58.75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59.05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56.32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56.76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55.87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56.24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55.32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56.36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55.34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56.3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56.48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56.36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55.72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56.33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56.63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56.63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56.18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56.23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55.5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56.25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56.54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56.48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