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A365D"/>
          <w:sz w:val="40"/>
        </w:rPr>
        <w:t>ANALYSTLAB AFRICA — WEEK 3 PROJECT SUBMISSION</w:t>
      </w:r>
    </w:p>
    <w:p>
      <w:pPr>
        <w:spacing w:after="360"/>
        <w:jc w:val="center"/>
      </w:pPr>
      <w:r>
        <w:rPr>
          <w:rFonts w:ascii="Times New Roman" w:hAnsi="Times New Roman"/>
          <w:i/>
          <w:color w:val="555555"/>
          <w:sz w:val="24"/>
        </w:rPr>
        <w:t>SQL Database Querying &amp; Business Insights Executive Brief</w:t>
      </w:r>
    </w:p>
    <w:p>
      <w:pPr>
        <w:keepNext/>
        <w:spacing w:before="280" w:after="120"/>
      </w:pPr>
      <w:r>
        <w:rPr>
          <w:rFonts w:ascii="Times New Roman" w:hAnsi="Times New Roman"/>
          <w:b/>
          <w:color w:val="1A365D"/>
          <w:sz w:val="32"/>
        </w:rPr>
        <w:t>Part 1: Global Corporate Sales Dataset Analysis</w:t>
      </w:r>
    </w:p>
    <w:p>
      <w:pPr>
        <w:keepNext/>
        <w:spacing w:before="240" w:after="80"/>
      </w:pPr>
      <w:r>
        <w:rPr>
          <w:rFonts w:ascii="Times New Roman" w:hAnsi="Times New Roman"/>
          <w:b/>
          <w:color w:val="2B6CB0"/>
          <w:sz w:val="26"/>
        </w:rPr>
        <w:t>1. High-Level Performance Matrix</w:t>
      </w:r>
    </w:p>
    <w:p>
      <w:pPr>
        <w:spacing w:after="120" w:line="276" w:lineRule="auto"/>
      </w:pPr>
      <w:r>
        <w:rPr>
          <w:rFonts w:ascii="Times New Roman" w:hAnsi="Times New Roman"/>
        </w:rPr>
        <w:t xml:space="preserve"> An aggregate database validation was performed over all 2,823 transaction records. All order timestamp text strings were programmatically standardized into native database date format structures (YYYY-MM-DD).</w:t>
      </w:r>
    </w:p>
    <w:p>
      <w:pPr>
        <w:spacing w:after="120" w:line="276" w:lineRule="auto"/>
        <w:ind w:left="360"/>
      </w:pPr>
      <w:r>
        <w:rPr>
          <w:rFonts w:ascii="Times New Roman" w:hAnsi="Times New Roman"/>
          <w:b/>
        </w:rPr>
        <w:t xml:space="preserve">• Total Portfolio Revenue: </w:t>
      </w:r>
      <w:r>
        <w:rPr>
          <w:rFonts w:ascii="Times New Roman" w:hAnsi="Times New Roman"/>
        </w:rPr>
        <w:t>$10,032,628.85</w:t>
      </w:r>
    </w:p>
    <w:p>
      <w:pPr>
        <w:spacing w:after="120" w:line="276" w:lineRule="auto"/>
        <w:ind w:left="360"/>
      </w:pPr>
      <w:r>
        <w:rPr>
          <w:rFonts w:ascii="Times New Roman" w:hAnsi="Times New Roman"/>
          <w:b/>
        </w:rPr>
        <w:t xml:space="preserve">• Total Volume Dispatched: </w:t>
      </w:r>
      <w:r>
        <w:rPr>
          <w:rFonts w:ascii="Times New Roman" w:hAnsi="Times New Roman"/>
        </w:rPr>
        <w:t>99,067 units</w:t>
      </w:r>
    </w:p>
    <w:p>
      <w:pPr>
        <w:spacing w:after="120" w:line="276" w:lineRule="auto"/>
        <w:ind w:left="360"/>
      </w:pPr>
      <w:r>
        <w:rPr>
          <w:rFonts w:ascii="Times New Roman" w:hAnsi="Times New Roman"/>
          <w:b/>
        </w:rPr>
        <w:t xml:space="preserve">• Average Order Value (AOV): </w:t>
      </w:r>
      <w:r>
        <w:rPr>
          <w:rFonts w:ascii="Times New Roman" w:hAnsi="Times New Roman"/>
        </w:rPr>
        <w:t>$3,553.89</w:t>
      </w:r>
    </w:p>
    <w:p>
      <w:pPr>
        <w:spacing w:after="120" w:line="276" w:lineRule="auto"/>
      </w:pPr>
      <w:r>
        <w:rPr>
          <w:rFonts w:ascii="Times New Roman" w:hAnsi="Times New Roman"/>
        </w:rPr>
        <w:t xml:space="preserve"> Historical tracking demonstrates strong Year-over-Year acceleration, peaking in 2004 before hitting a dataset endpoint limitation in 2005:</w:t>
      </w:r>
    </w:p>
    <w:p>
      <w:pPr>
        <w:spacing w:after="120" w:line="276" w:lineRule="auto"/>
        <w:ind w:left="360"/>
      </w:pPr>
      <w:r>
        <w:rPr>
          <w:rFonts w:ascii="Times New Roman" w:hAnsi="Times New Roman"/>
          <w:b/>
        </w:rPr>
        <w:t xml:space="preserve">• Fiscal Year 2003: </w:t>
      </w:r>
      <w:r>
        <w:rPr>
          <w:rFonts w:ascii="Times New Roman" w:hAnsi="Times New Roman"/>
        </w:rPr>
        <w:t>Generated $3,516,979.54 across 104 unique corporate orders.</w:t>
      </w:r>
    </w:p>
    <w:p>
      <w:pPr>
        <w:spacing w:after="120" w:line="276" w:lineRule="auto"/>
        <w:ind w:left="360"/>
      </w:pPr>
      <w:r>
        <w:rPr>
          <w:rFonts w:ascii="Times New Roman" w:hAnsi="Times New Roman"/>
          <w:b/>
        </w:rPr>
        <w:t xml:space="preserve">• Fiscal Year 2004: </w:t>
      </w:r>
      <w:r>
        <w:rPr>
          <w:rFonts w:ascii="Times New Roman" w:hAnsi="Times New Roman"/>
        </w:rPr>
        <w:t>Generated $4,724,162.60 across 144 unique corporate orders. This represents a substantial 34.3% YoY revenue surge, proving to be the primary corporate growth phase.</w:t>
      </w:r>
    </w:p>
    <w:p>
      <w:pPr>
        <w:spacing w:after="120" w:line="276" w:lineRule="auto"/>
        <w:ind w:left="360"/>
      </w:pPr>
      <w:r>
        <w:rPr>
          <w:rFonts w:ascii="Times New Roman" w:hAnsi="Times New Roman"/>
          <w:b/>
        </w:rPr>
        <w:t xml:space="preserve">• Fiscal Year 2005: </w:t>
      </w:r>
      <w:r>
        <w:rPr>
          <w:rFonts w:ascii="Times New Roman" w:hAnsi="Times New Roman"/>
        </w:rPr>
        <w:t>Generated $1,791,486.71 across 59 unique corporate orders. (Analytical Note: This decline is an artifact of mid-year data truncation within the source files, not an indicator of operational contraction).</w:t>
      </w:r>
    </w:p>
    <w:p>
      <w:pPr>
        <w:keepNext/>
        <w:spacing w:before="240" w:after="80"/>
      </w:pPr>
      <w:r>
        <w:rPr>
          <w:rFonts w:ascii="Times New Roman" w:hAnsi="Times New Roman"/>
          <w:b/>
          <w:color w:val="2B6CB0"/>
          <w:sz w:val="26"/>
        </w:rPr>
        <w:t>2. Category Portfolio &amp; Deal Segmentation</w:t>
      </w:r>
    </w:p>
    <w:p>
      <w:pPr>
        <w:spacing w:after="120" w:line="276" w:lineRule="auto"/>
      </w:pPr>
      <w:r>
        <w:rPr>
          <w:rFonts w:ascii="Times New Roman" w:hAnsi="Times New Roman"/>
        </w:rPr>
        <w:t>The table below details the performance matrices across inventory classifications alongside transaction scale segments. Classic Cars represent the primary commercial engine of the group.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2016"/>
            <w:shd w:fill="1A365D"/>
            <w:tcMar>
              <w:top w:w="140" w:type="dxa"/>
              <w:bottom w:w="140" w:type="dxa"/>
              <w:left w:w="150" w:type="dxa"/>
              <w:right w:w="150" w:type="dxa"/>
            </w:tcMar>
          </w:tcPr>
          <w:p>
            <w:pPr>
              <w:jc w:val="center"/>
            </w:pPr>
            <w:r>
              <w:rPr>
                <w:b/>
                <w:color w:val="FFFFFF"/>
              </w:rPr>
              <w:t>Product Line</w:t>
            </w:r>
          </w:p>
        </w:tc>
        <w:tc>
          <w:tcPr>
            <w:tcW w:type="dxa" w:w="1584"/>
            <w:shd w:fill="1A365D"/>
            <w:tcMar>
              <w:top w:w="140" w:type="dxa"/>
              <w:bottom w:w="140" w:type="dxa"/>
              <w:left w:w="150" w:type="dxa"/>
              <w:right w:w="150" w:type="dxa"/>
            </w:tcMar>
          </w:tcPr>
          <w:p>
            <w:pPr>
              <w:jc w:val="center"/>
            </w:pPr>
            <w:r>
              <w:rPr>
                <w:b/>
                <w:color w:val="FFFFFF"/>
              </w:rPr>
              <w:t>Total Revenue</w:t>
            </w:r>
          </w:p>
        </w:tc>
        <w:tc>
          <w:tcPr>
            <w:tcW w:type="dxa" w:w="1296"/>
            <w:shd w:fill="1A365D"/>
            <w:tcMar>
              <w:top w:w="140" w:type="dxa"/>
              <w:bottom w:w="140" w:type="dxa"/>
              <w:left w:w="150" w:type="dxa"/>
              <w:right w:w="150" w:type="dxa"/>
            </w:tcMar>
          </w:tcPr>
          <w:p>
            <w:pPr>
              <w:jc w:val="center"/>
            </w:pPr>
            <w:r>
              <w:rPr>
                <w:b/>
                <w:color w:val="FFFFFF"/>
              </w:rPr>
              <w:t>Items Sold</w:t>
            </w:r>
          </w:p>
        </w:tc>
        <w:tc>
          <w:tcPr>
            <w:tcW w:type="dxa" w:w="2016"/>
            <w:shd w:fill="1A365D"/>
            <w:tcMar>
              <w:top w:w="140" w:type="dxa"/>
              <w:bottom w:w="140" w:type="dxa"/>
              <w:left w:w="150" w:type="dxa"/>
              <w:right w:w="150" w:type="dxa"/>
            </w:tcMar>
          </w:tcPr>
          <w:p>
            <w:pPr>
              <w:jc w:val="center"/>
            </w:pPr>
            <w:r>
              <w:rPr>
                <w:b/>
                <w:color w:val="FFFFFF"/>
              </w:rPr>
              <w:t>Deal Size Segment</w:t>
            </w:r>
          </w:p>
        </w:tc>
        <w:tc>
          <w:tcPr>
            <w:tcW w:type="dxa" w:w="1728"/>
            <w:shd w:fill="1A365D"/>
            <w:tcMar>
              <w:top w:w="140" w:type="dxa"/>
              <w:bottom w:w="140" w:type="dxa"/>
              <w:left w:w="150" w:type="dxa"/>
              <w:right w:w="150" w:type="dxa"/>
            </w:tcMar>
          </w:tcPr>
          <w:p>
            <w:pPr>
              <w:jc w:val="center"/>
            </w:pPr>
            <w:r>
              <w:rPr>
                <w:b/>
                <w:color w:val="FFFFFF"/>
              </w:rPr>
              <w:t>Segment Revenue</w:t>
            </w:r>
          </w:p>
        </w:tc>
        <w:tc>
          <w:tcPr>
            <w:tcW w:type="dxa" w:w="1152"/>
            <w:shd w:fill="1A365D"/>
            <w:tcMar>
              <w:top w:w="140" w:type="dxa"/>
              <w:bottom w:w="140" w:type="dxa"/>
              <w:left w:w="150" w:type="dxa"/>
              <w:right w:w="150" w:type="dxa"/>
            </w:tcMar>
          </w:tcPr>
          <w:p>
            <w:pPr>
              <w:jc w:val="center"/>
            </w:pPr>
            <w:r>
              <w:rPr>
                <w:b/>
                <w:color w:val="FFFFFF"/>
              </w:rPr>
              <w:t>% Share</w:t>
            </w:r>
          </w:p>
        </w:tc>
      </w:tr>
      <w:tr>
        <w:tc>
          <w:tcPr>
            <w:tcW w:type="dxa" w:w="2016"/>
            <w:tcMar>
              <w:top w:w="80" w:type="dxa"/>
              <w:bottom w:w="80" w:type="dxa"/>
              <w:left w:w="150" w:type="dxa"/>
              <w:right w:w="150" w:type="dxa"/>
            </w:tcMar>
            <w:shd w:fill="F7FAFC"/>
          </w:tcPr>
          <w:p>
            <w:pPr>
              <w:jc w:val="left"/>
            </w:pPr>
            <w:r>
              <w:t>Classic Cars</w:t>
            </w:r>
          </w:p>
        </w:tc>
        <w:tc>
          <w:tcPr>
            <w:tcW w:type="dxa" w:w="1584"/>
            <w:tcMar>
              <w:top w:w="80" w:type="dxa"/>
              <w:bottom w:w="80" w:type="dxa"/>
              <w:left w:w="150" w:type="dxa"/>
              <w:right w:w="150" w:type="dxa"/>
            </w:tcMar>
            <w:shd w:fill="F7FAFC"/>
          </w:tcPr>
          <w:p>
            <w:pPr>
              <w:jc w:val="right"/>
            </w:pPr>
            <w:r>
              <w:t>$3,919,615.66</w:t>
            </w:r>
          </w:p>
        </w:tc>
        <w:tc>
          <w:tcPr>
            <w:tcW w:type="dxa" w:w="1296"/>
            <w:tcMar>
              <w:top w:w="80" w:type="dxa"/>
              <w:bottom w:w="80" w:type="dxa"/>
              <w:left w:w="150" w:type="dxa"/>
              <w:right w:w="150" w:type="dxa"/>
            </w:tcMar>
            <w:shd w:fill="F7FAFC"/>
          </w:tcPr>
          <w:p>
            <w:pPr>
              <w:jc w:val="right"/>
            </w:pPr>
            <w:r>
              <w:t>33,992</w:t>
            </w:r>
          </w:p>
        </w:tc>
        <w:tc>
          <w:tcPr>
            <w:tcW w:type="dxa" w:w="2016"/>
            <w:tcMar>
              <w:top w:w="80" w:type="dxa"/>
              <w:bottom w:w="80" w:type="dxa"/>
              <w:left w:w="150" w:type="dxa"/>
              <w:right w:w="150" w:type="dxa"/>
            </w:tcMar>
            <w:shd w:fill="F7FAFC"/>
          </w:tcPr>
          <w:p>
            <w:pPr>
              <w:jc w:val="left"/>
            </w:pPr>
            <w:r>
              <w:t>Medium Deals</w:t>
            </w:r>
          </w:p>
        </w:tc>
        <w:tc>
          <w:tcPr>
            <w:tcW w:type="dxa" w:w="1728"/>
            <w:tcMar>
              <w:top w:w="80" w:type="dxa"/>
              <w:bottom w:w="80" w:type="dxa"/>
              <w:left w:w="150" w:type="dxa"/>
              <w:right w:w="150" w:type="dxa"/>
            </w:tcMar>
            <w:shd w:fill="F7FAFC"/>
          </w:tcPr>
          <w:p>
            <w:pPr>
              <w:jc w:val="right"/>
            </w:pPr>
            <w:r>
              <w:t>$6,087,432.24</w:t>
            </w:r>
          </w:p>
        </w:tc>
        <w:tc>
          <w:tcPr>
            <w:tcW w:type="dxa" w:w="1152"/>
            <w:tcMar>
              <w:top w:w="80" w:type="dxa"/>
              <w:bottom w:w="80" w:type="dxa"/>
              <w:left w:w="150" w:type="dxa"/>
              <w:right w:w="150" w:type="dxa"/>
            </w:tcMar>
            <w:shd w:fill="F7FAFC"/>
          </w:tcPr>
          <w:p>
            <w:pPr>
              <w:jc w:val="right"/>
            </w:pPr>
            <w:r>
              <w:t>60.68%</w:t>
            </w:r>
          </w:p>
        </w:tc>
      </w:tr>
      <w:tr>
        <w:tc>
          <w:tcPr>
            <w:tcW w:type="dxa" w:w="2016"/>
            <w:tcMar>
              <w:top w:w="80" w:type="dxa"/>
              <w:bottom w:w="80" w:type="dxa"/>
              <w:left w:w="150" w:type="dxa"/>
              <w:right w:w="150" w:type="dxa"/>
            </w:tcMar>
          </w:tcPr>
          <w:p>
            <w:pPr>
              <w:jc w:val="left"/>
            </w:pPr>
            <w:r>
              <w:t>Vintage Cars</w:t>
            </w:r>
          </w:p>
        </w:tc>
        <w:tc>
          <w:tcPr>
            <w:tcW w:type="dxa" w:w="1584"/>
            <w:tcMar>
              <w:top w:w="80" w:type="dxa"/>
              <w:bottom w:w="80" w:type="dxa"/>
              <w:left w:w="150" w:type="dxa"/>
              <w:right w:w="150" w:type="dxa"/>
            </w:tcMar>
          </w:tcPr>
          <w:p>
            <w:pPr>
              <w:jc w:val="right"/>
            </w:pPr>
            <w:r>
              <w:t>$1,903,150.84</w:t>
            </w:r>
          </w:p>
        </w:tc>
        <w:tc>
          <w:tcPr>
            <w:tcW w:type="dxa" w:w="1296"/>
            <w:tcMar>
              <w:top w:w="80" w:type="dxa"/>
              <w:bottom w:w="80" w:type="dxa"/>
              <w:left w:w="150" w:type="dxa"/>
              <w:right w:w="150" w:type="dxa"/>
            </w:tcMar>
          </w:tcPr>
          <w:p>
            <w:pPr>
              <w:jc w:val="right"/>
            </w:pPr>
            <w:r>
              <w:t>21,069</w:t>
            </w:r>
          </w:p>
        </w:tc>
        <w:tc>
          <w:tcPr>
            <w:tcW w:type="dxa" w:w="2016"/>
            <w:tcMar>
              <w:top w:w="80" w:type="dxa"/>
              <w:bottom w:w="80" w:type="dxa"/>
              <w:left w:w="150" w:type="dxa"/>
              <w:right w:w="150" w:type="dxa"/>
            </w:tcMar>
          </w:tcPr>
          <w:p>
            <w:pPr>
              <w:jc w:val="left"/>
            </w:pPr>
            <w:r>
              <w:t>Small Deals</w:t>
            </w:r>
          </w:p>
        </w:tc>
        <w:tc>
          <w:tcPr>
            <w:tcW w:type="dxa" w:w="1728"/>
            <w:tcMar>
              <w:top w:w="80" w:type="dxa"/>
              <w:bottom w:w="80" w:type="dxa"/>
              <w:left w:w="150" w:type="dxa"/>
              <w:right w:w="150" w:type="dxa"/>
            </w:tcMar>
          </w:tcPr>
          <w:p>
            <w:pPr>
              <w:jc w:val="right"/>
            </w:pPr>
            <w:r>
              <w:t>$2,643,077.35</w:t>
            </w:r>
          </w:p>
        </w:tc>
        <w:tc>
          <w:tcPr>
            <w:tcW w:type="dxa" w:w="1152"/>
            <w:tcMar>
              <w:top w:w="80" w:type="dxa"/>
              <w:bottom w:w="80" w:type="dxa"/>
              <w:left w:w="150" w:type="dxa"/>
              <w:right w:w="150" w:type="dxa"/>
            </w:tcMar>
          </w:tcPr>
          <w:p>
            <w:pPr>
              <w:jc w:val="right"/>
            </w:pPr>
            <w:r>
              <w:t>26.34%</w:t>
            </w:r>
          </w:p>
        </w:tc>
      </w:tr>
      <w:tr>
        <w:tc>
          <w:tcPr>
            <w:tcW w:type="dxa" w:w="2016"/>
            <w:tcMar>
              <w:top w:w="80" w:type="dxa"/>
              <w:bottom w:w="80" w:type="dxa"/>
              <w:left w:w="150" w:type="dxa"/>
              <w:right w:w="150" w:type="dxa"/>
            </w:tcMar>
            <w:shd w:fill="F7FAFC"/>
          </w:tcPr>
          <w:p>
            <w:pPr>
              <w:jc w:val="left"/>
            </w:pPr>
            <w:r>
              <w:t>Motorcycles</w:t>
            </w:r>
          </w:p>
        </w:tc>
        <w:tc>
          <w:tcPr>
            <w:tcW w:type="dxa" w:w="1584"/>
            <w:tcMar>
              <w:top w:w="80" w:type="dxa"/>
              <w:bottom w:w="80" w:type="dxa"/>
              <w:left w:w="150" w:type="dxa"/>
              <w:right w:w="150" w:type="dxa"/>
            </w:tcMar>
            <w:shd w:fill="F7FAFC"/>
          </w:tcPr>
          <w:p>
            <w:pPr>
              <w:jc w:val="right"/>
            </w:pPr>
            <w:r>
              <w:t>$1,166,388.34</w:t>
            </w:r>
          </w:p>
        </w:tc>
        <w:tc>
          <w:tcPr>
            <w:tcW w:type="dxa" w:w="1296"/>
            <w:tcMar>
              <w:top w:w="80" w:type="dxa"/>
              <w:bottom w:w="80" w:type="dxa"/>
              <w:left w:w="150" w:type="dxa"/>
              <w:right w:w="150" w:type="dxa"/>
            </w:tcMar>
            <w:shd w:fill="F7FAFC"/>
          </w:tcPr>
          <w:p>
            <w:pPr>
              <w:jc w:val="right"/>
            </w:pPr>
            <w:r>
              <w:t>11,663</w:t>
            </w:r>
          </w:p>
        </w:tc>
        <w:tc>
          <w:tcPr>
            <w:tcW w:type="dxa" w:w="2016"/>
            <w:tcMar>
              <w:top w:w="80" w:type="dxa"/>
              <w:bottom w:w="80" w:type="dxa"/>
              <w:left w:w="150" w:type="dxa"/>
              <w:right w:w="150" w:type="dxa"/>
            </w:tcMar>
            <w:shd w:fill="F7FAFC"/>
          </w:tcPr>
          <w:p>
            <w:pPr>
              <w:jc w:val="left"/>
            </w:pPr>
            <w:r>
              <w:t>Large Deals</w:t>
            </w:r>
          </w:p>
        </w:tc>
        <w:tc>
          <w:tcPr>
            <w:tcW w:type="dxa" w:w="1728"/>
            <w:tcMar>
              <w:top w:w="80" w:type="dxa"/>
              <w:bottom w:w="80" w:type="dxa"/>
              <w:left w:w="150" w:type="dxa"/>
              <w:right w:w="150" w:type="dxa"/>
            </w:tcMar>
            <w:shd w:fill="F7FAFC"/>
          </w:tcPr>
          <w:p>
            <w:pPr>
              <w:jc w:val="right"/>
            </w:pPr>
            <w:r>
              <w:t>$1,302,119.26</w:t>
            </w:r>
          </w:p>
        </w:tc>
        <w:tc>
          <w:tcPr>
            <w:tcW w:type="dxa" w:w="1152"/>
            <w:tcMar>
              <w:top w:w="80" w:type="dxa"/>
              <w:bottom w:w="80" w:type="dxa"/>
              <w:left w:w="150" w:type="dxa"/>
              <w:right w:w="150" w:type="dxa"/>
            </w:tcMar>
            <w:shd w:fill="F7FAFC"/>
          </w:tcPr>
          <w:p>
            <w:pPr>
              <w:jc w:val="right"/>
            </w:pPr>
            <w:r>
              <w:t>12.98%</w:t>
            </w:r>
          </w:p>
        </w:tc>
      </w:tr>
      <w:tr>
        <w:tc>
          <w:tcPr>
            <w:tcW w:type="dxa" w:w="2016"/>
            <w:tcMar>
              <w:top w:w="80" w:type="dxa"/>
              <w:bottom w:w="80" w:type="dxa"/>
              <w:left w:w="150" w:type="dxa"/>
              <w:right w:w="150" w:type="dxa"/>
            </w:tcMar>
          </w:tcPr>
          <w:p>
            <w:pPr>
              <w:jc w:val="left"/>
            </w:pPr>
            <w:r>
              <w:t>Trucks &amp; Buses</w:t>
            </w:r>
          </w:p>
        </w:tc>
        <w:tc>
          <w:tcPr>
            <w:tcW w:type="dxa" w:w="1584"/>
            <w:tcMar>
              <w:top w:w="80" w:type="dxa"/>
              <w:bottom w:w="80" w:type="dxa"/>
              <w:left w:w="150" w:type="dxa"/>
              <w:right w:w="150" w:type="dxa"/>
            </w:tcMar>
          </w:tcPr>
          <w:p>
            <w:pPr>
              <w:jc w:val="right"/>
            </w:pPr>
            <w:r>
              <w:t>$1,127,789.84</w:t>
            </w:r>
          </w:p>
        </w:tc>
        <w:tc>
          <w:tcPr>
            <w:tcW w:type="dxa" w:w="1296"/>
            <w:tcMar>
              <w:top w:w="80" w:type="dxa"/>
              <w:bottom w:w="80" w:type="dxa"/>
              <w:left w:w="150" w:type="dxa"/>
              <w:right w:w="150" w:type="dxa"/>
            </w:tcMar>
          </w:tcPr>
          <w:p>
            <w:pPr>
              <w:jc w:val="right"/>
            </w:pPr>
            <w:r>
              <w:t>10,777</w:t>
            </w:r>
          </w:p>
        </w:tc>
        <w:tc>
          <w:tcPr>
            <w:tcW w:type="dxa" w:w="2016"/>
            <w:tcMar>
              <w:top w:w="80" w:type="dxa"/>
              <w:bottom w:w="80" w:type="dxa"/>
              <w:left w:w="150" w:type="dxa"/>
              <w:right w:w="150" w:type="dxa"/>
            </w:tcMar>
          </w:tcPr>
          <w:p>
            <w:pPr>
              <w:jc w:val="left"/>
            </w:pPr>
            <w:r/>
          </w:p>
        </w:tc>
        <w:tc>
          <w:tcPr>
            <w:tcW w:type="dxa" w:w="1728"/>
            <w:tcMar>
              <w:top w:w="80" w:type="dxa"/>
              <w:bottom w:w="80" w:type="dxa"/>
              <w:left w:w="150" w:type="dxa"/>
              <w:right w:w="150" w:type="dxa"/>
            </w:tcMar>
          </w:tcPr>
          <w:p>
            <w:pPr>
              <w:jc w:val="right"/>
            </w:pPr>
            <w:r/>
          </w:p>
        </w:tc>
        <w:tc>
          <w:tcPr>
            <w:tcW w:type="dxa" w:w="1152"/>
            <w:tcMar>
              <w:top w:w="80" w:type="dxa"/>
              <w:bottom w:w="80" w:type="dxa"/>
              <w:left w:w="150" w:type="dxa"/>
              <w:right w:w="150" w:type="dxa"/>
            </w:tcMar>
          </w:tcPr>
          <w:p>
            <w:pPr>
              <w:jc w:val="right"/>
            </w:pPr>
            <w:r/>
          </w:p>
        </w:tc>
      </w:tr>
      <w:tr>
        <w:tc>
          <w:tcPr>
            <w:tcW w:type="dxa" w:w="2016"/>
            <w:tcMar>
              <w:top w:w="80" w:type="dxa"/>
              <w:bottom w:w="80" w:type="dxa"/>
              <w:left w:w="150" w:type="dxa"/>
              <w:right w:w="150" w:type="dxa"/>
            </w:tcMar>
            <w:shd w:fill="F7FAFC"/>
          </w:tcPr>
          <w:p>
            <w:pPr>
              <w:jc w:val="left"/>
            </w:pPr>
            <w:r>
              <w:t>Planes</w:t>
            </w:r>
          </w:p>
        </w:tc>
        <w:tc>
          <w:tcPr>
            <w:tcW w:type="dxa" w:w="1584"/>
            <w:tcMar>
              <w:top w:w="80" w:type="dxa"/>
              <w:bottom w:w="80" w:type="dxa"/>
              <w:left w:w="150" w:type="dxa"/>
              <w:right w:w="150" w:type="dxa"/>
            </w:tcMar>
            <w:shd w:fill="F7FAFC"/>
          </w:tcPr>
          <w:p>
            <w:pPr>
              <w:jc w:val="right"/>
            </w:pPr>
            <w:r>
              <w:t>$975,003.57</w:t>
            </w:r>
          </w:p>
        </w:tc>
        <w:tc>
          <w:tcPr>
            <w:tcW w:type="dxa" w:w="1296"/>
            <w:tcMar>
              <w:top w:w="80" w:type="dxa"/>
              <w:bottom w:w="80" w:type="dxa"/>
              <w:left w:w="150" w:type="dxa"/>
              <w:right w:w="150" w:type="dxa"/>
            </w:tcMar>
            <w:shd w:fill="F7FAFC"/>
          </w:tcPr>
          <w:p>
            <w:pPr>
              <w:jc w:val="right"/>
            </w:pPr>
            <w:r>
              <w:t>10,727</w:t>
            </w:r>
          </w:p>
        </w:tc>
        <w:tc>
          <w:tcPr>
            <w:tcW w:type="dxa" w:w="2016"/>
            <w:tcMar>
              <w:top w:w="80" w:type="dxa"/>
              <w:bottom w:w="80" w:type="dxa"/>
              <w:left w:w="150" w:type="dxa"/>
              <w:right w:w="150" w:type="dxa"/>
            </w:tcMar>
            <w:shd w:fill="F7FAFC"/>
          </w:tcPr>
          <w:p>
            <w:pPr>
              <w:jc w:val="left"/>
            </w:pPr>
            <w:r/>
          </w:p>
        </w:tc>
        <w:tc>
          <w:tcPr>
            <w:tcW w:type="dxa" w:w="1728"/>
            <w:tcMar>
              <w:top w:w="80" w:type="dxa"/>
              <w:bottom w:w="80" w:type="dxa"/>
              <w:left w:w="150" w:type="dxa"/>
              <w:right w:w="150" w:type="dxa"/>
            </w:tcMar>
            <w:shd w:fill="F7FAFC"/>
          </w:tcPr>
          <w:p>
            <w:pPr>
              <w:jc w:val="right"/>
            </w:pPr>
            <w:r/>
          </w:p>
        </w:tc>
        <w:tc>
          <w:tcPr>
            <w:tcW w:type="dxa" w:w="1152"/>
            <w:tcMar>
              <w:top w:w="80" w:type="dxa"/>
              <w:bottom w:w="80" w:type="dxa"/>
              <w:left w:w="150" w:type="dxa"/>
              <w:right w:w="150" w:type="dxa"/>
            </w:tcMar>
            <w:shd w:fill="F7FAFC"/>
          </w:tcPr>
          <w:p>
            <w:pPr>
              <w:jc w:val="right"/>
            </w:pPr>
            <w:r/>
          </w:p>
        </w:tc>
      </w:tr>
      <w:tr>
        <w:tc>
          <w:tcPr>
            <w:tcW w:type="dxa" w:w="2016"/>
            <w:tcMar>
              <w:top w:w="80" w:type="dxa"/>
              <w:bottom w:w="80" w:type="dxa"/>
              <w:left w:w="150" w:type="dxa"/>
              <w:right w:w="150" w:type="dxa"/>
            </w:tcMar>
          </w:tcPr>
          <w:p>
            <w:pPr>
              <w:jc w:val="left"/>
            </w:pPr>
            <w:r>
              <w:t>Ships &amp; Trains</w:t>
            </w:r>
          </w:p>
        </w:tc>
        <w:tc>
          <w:tcPr>
            <w:tcW w:type="dxa" w:w="1584"/>
            <w:tcMar>
              <w:top w:w="80" w:type="dxa"/>
              <w:bottom w:w="80" w:type="dxa"/>
              <w:left w:w="150" w:type="dxa"/>
              <w:right w:w="150" w:type="dxa"/>
            </w:tcMar>
          </w:tcPr>
          <w:p>
            <w:pPr>
              <w:jc w:val="right"/>
            </w:pPr>
            <w:r>
              <w:t>$940,680.60</w:t>
            </w:r>
          </w:p>
        </w:tc>
        <w:tc>
          <w:tcPr>
            <w:tcW w:type="dxa" w:w="1296"/>
            <w:tcMar>
              <w:top w:w="80" w:type="dxa"/>
              <w:bottom w:w="80" w:type="dxa"/>
              <w:left w:w="150" w:type="dxa"/>
              <w:right w:w="150" w:type="dxa"/>
            </w:tcMar>
          </w:tcPr>
          <w:p>
            <w:pPr>
              <w:jc w:val="right"/>
            </w:pPr>
            <w:r>
              <w:t>10,839</w:t>
            </w:r>
          </w:p>
        </w:tc>
        <w:tc>
          <w:tcPr>
            <w:tcW w:type="dxa" w:w="2016"/>
            <w:tcMar>
              <w:top w:w="80" w:type="dxa"/>
              <w:bottom w:w="80" w:type="dxa"/>
              <w:left w:w="150" w:type="dxa"/>
              <w:right w:w="150" w:type="dxa"/>
            </w:tcMar>
          </w:tcPr>
          <w:p>
            <w:pPr>
              <w:jc w:val="left"/>
            </w:pPr>
            <w:r/>
          </w:p>
        </w:tc>
        <w:tc>
          <w:tcPr>
            <w:tcW w:type="dxa" w:w="1728"/>
            <w:tcMar>
              <w:top w:w="80" w:type="dxa"/>
              <w:bottom w:w="80" w:type="dxa"/>
              <w:left w:w="150" w:type="dxa"/>
              <w:right w:w="150" w:type="dxa"/>
            </w:tcMar>
          </w:tcPr>
          <w:p>
            <w:pPr>
              <w:jc w:val="right"/>
            </w:pPr>
            <w:r/>
          </w:p>
        </w:tc>
        <w:tc>
          <w:tcPr>
            <w:tcW w:type="dxa" w:w="1152"/>
            <w:tcMar>
              <w:top w:w="80" w:type="dxa"/>
              <w:bottom w:w="80" w:type="dxa"/>
              <w:left w:w="150" w:type="dxa"/>
              <w:right w:w="150" w:type="dxa"/>
            </w:tcMar>
          </w:tcPr>
          <w:p>
            <w:pPr>
              <w:jc w:val="right"/>
            </w:pPr>
            <w:r/>
          </w:p>
        </w:tc>
      </w:tr>
    </w:tbl>
    <w:p>
      <w:pPr>
        <w:spacing w:before="80"/>
      </w:pPr>
    </w:p>
    <w:p>
      <w:pPr>
        <w:spacing w:after="120" w:line="276" w:lineRule="auto"/>
      </w:pPr>
      <w:r>
        <w:rPr>
          <w:rFonts w:ascii="Times New Roman" w:hAnsi="Times New Roman"/>
          <w:b/>
        </w:rPr>
        <w:t xml:space="preserve">Strategic Inventory Insight: </w:t>
      </w:r>
      <w:r>
        <w:rPr>
          <w:rFonts w:ascii="Times New Roman" w:hAnsi="Times New Roman"/>
        </w:rPr>
        <w:t>Medium contract sizes constitute the fundamental economic driver of wholesale cash flow, securing 60.68% of total revenue. High-frequency small transactional counts provide steady retail liquidity but generate significantly less absolute volume.</w:t>
      </w:r>
    </w:p>
    <w:p>
      <w:pPr>
        <w:keepNext/>
        <w:spacing w:before="240" w:after="80"/>
      </w:pPr>
      <w:r>
        <w:rPr>
          <w:rFonts w:ascii="Times New Roman" w:hAnsi="Times New Roman"/>
          <w:b/>
          <w:color w:val="2B6CB0"/>
          <w:sz w:val="26"/>
        </w:rPr>
        <w:t>3. Geographic &amp; Account Concentration (Top 5)</w:t>
      </w:r>
    </w:p>
    <w:p>
      <w:pPr>
        <w:spacing w:after="120" w:line="276" w:lineRule="auto"/>
        <w:ind w:left="360"/>
      </w:pPr>
      <w:r>
        <w:rPr>
          <w:rFonts w:ascii="Times New Roman" w:hAnsi="Times New Roman"/>
          <w:b/>
        </w:rPr>
        <w:t xml:space="preserve">• Top Revenue Countries: </w:t>
      </w:r>
      <w:r>
        <w:rPr>
          <w:rFonts w:ascii="Times New Roman" w:hAnsi="Times New Roman"/>
        </w:rPr>
        <w:t>United States ($3,627,982.83) | Spain ($1,215,686.92) | France ($1,110,916.52) | Australia ($630,623.10) | United Kingdom ($478,880.46).</w:t>
      </w:r>
    </w:p>
    <w:p>
      <w:pPr>
        <w:spacing w:after="120" w:line="276" w:lineRule="auto"/>
        <w:ind w:left="360"/>
      </w:pPr>
      <w:r>
        <w:rPr>
          <w:rFonts w:ascii="Times New Roman" w:hAnsi="Times New Roman"/>
          <w:b/>
        </w:rPr>
        <w:t xml:space="preserve">• Key Corporate Accounts: </w:t>
      </w:r>
      <w:r>
        <w:rPr>
          <w:rFonts w:ascii="Times New Roman" w:hAnsi="Times New Roman"/>
        </w:rPr>
        <w:t>Mini Gifts Distributors Ltd. (USA - $654,858.06) | Australian Collectors, Co. (Australia - $200,995.41) | Muscle Machine Inc. (USA - $197,736.94) | La Rochelle Gifts (France - $180,124.90) | Dragon Souvenirs, Ltd. (Singapore - $172,989.68).</w:t>
      </w:r>
    </w:p>
    <w:p>
      <w:pPr>
        <w:keepNext/>
        <w:spacing w:before="240" w:after="80"/>
      </w:pPr>
      <w:r>
        <w:rPr>
          <w:rFonts w:ascii="Times New Roman" w:hAnsi="Times New Roman"/>
          <w:b/>
          <w:color w:val="2B6CB0"/>
          <w:sz w:val="26"/>
        </w:rPr>
        <w:t>4. High-Volume SKUs (Window Function Application)</w:t>
      </w:r>
    </w:p>
    <w:p>
      <w:pPr>
        <w:spacing w:after="120" w:line="276" w:lineRule="auto"/>
      </w:pPr>
      <w:r>
        <w:rPr>
          <w:rFonts w:ascii="Times New Roman" w:hAnsi="Times New Roman"/>
        </w:rPr>
        <w:t>Advanced analytic segmentation using RANK() OVER (PARTITION BY product_line ORDER BY SUM(quantity_ordered) DESC) successfully isolated the top performance items driving category velocity:</w:t>
      </w:r>
    </w:p>
    <w:p>
      <w:pPr>
        <w:spacing w:after="120" w:line="276" w:lineRule="auto"/>
        <w:ind w:left="360"/>
      </w:pPr>
      <w:r>
        <w:rPr>
          <w:rFonts w:ascii="Times New Roman" w:hAnsi="Times New Roman"/>
          <w:b/>
        </w:rPr>
        <w:t xml:space="preserve">• Classic Cars: </w:t>
      </w:r>
      <w:r>
        <w:rPr>
          <w:rFonts w:ascii="Times New Roman" w:hAnsi="Times New Roman"/>
        </w:rPr>
        <w:t>SKU S18_3232 (1,774 units | $288,245.42 revenue) — Rank 1</w:t>
      </w:r>
    </w:p>
    <w:p>
      <w:pPr>
        <w:spacing w:after="120" w:line="276" w:lineRule="auto"/>
        <w:ind w:left="360"/>
      </w:pPr>
      <w:r>
        <w:rPr>
          <w:rFonts w:ascii="Times New Roman" w:hAnsi="Times New Roman"/>
          <w:b/>
        </w:rPr>
        <w:t xml:space="preserve">• Motorcycles: </w:t>
      </w:r>
      <w:r>
        <w:rPr>
          <w:rFonts w:ascii="Times New Roman" w:hAnsi="Times New Roman"/>
        </w:rPr>
        <w:t>SKU S12_2823 (964 units | $140,006.16 revenue) — Rank 1</w:t>
      </w:r>
    </w:p>
    <w:p>
      <w:pPr>
        <w:spacing w:after="120" w:line="276" w:lineRule="auto"/>
        <w:ind w:left="360"/>
      </w:pPr>
      <w:r>
        <w:rPr>
          <w:rFonts w:ascii="Times New Roman" w:hAnsi="Times New Roman"/>
          <w:b/>
        </w:rPr>
        <w:t xml:space="preserve">• Trucks &amp; Buses: </w:t>
      </w:r>
      <w:r>
        <w:rPr>
          <w:rFonts w:ascii="Times New Roman" w:hAnsi="Times New Roman"/>
        </w:rPr>
        <w:t>SKU S18_4600 (1,031 units | $123,723.08 revenue) — Rank 1</w:t>
      </w:r>
    </w:p>
    <w:p>
      <w:r>
        <w:br w:type="page"/>
      </w:r>
    </w:p>
    <w:p>
      <w:pPr>
        <w:keepNext/>
        <w:spacing w:before="280" w:after="120"/>
      </w:pPr>
      <w:r>
        <w:rPr>
          <w:rFonts w:ascii="Times New Roman" w:hAnsi="Times New Roman"/>
          <w:b/>
          <w:color w:val="1A365D"/>
          <w:sz w:val="32"/>
        </w:rPr>
        <w:t>Part 2: Chinook Digital Music Store Analysis</w:t>
      </w:r>
    </w:p>
    <w:p>
      <w:pPr>
        <w:keepNext/>
        <w:spacing w:before="240" w:after="80"/>
      </w:pPr>
      <w:r>
        <w:rPr>
          <w:rFonts w:ascii="Times New Roman" w:hAnsi="Times New Roman"/>
          <w:b/>
          <w:color w:val="2B6CB0"/>
          <w:sz w:val="26"/>
        </w:rPr>
        <w:t>1. Relational Framework Validation</w:t>
      </w:r>
    </w:p>
    <w:p>
      <w:pPr>
        <w:spacing w:after="120" w:line="276" w:lineRule="auto"/>
      </w:pPr>
      <w:r>
        <w:rPr>
          <w:rFonts w:ascii="Times New Roman" w:hAnsi="Times New Roman"/>
        </w:rPr>
        <w:t>The Chinook ecosystem was successfully instantiated utilizing an optimized relational schema structure mapping 11 distinct operational data tables linked together via foreign key relational constraints, containing active metrics across 59 global consumers and 3,503 item tracks.</w:t>
      </w:r>
    </w:p>
    <w:p>
      <w:pPr>
        <w:keepNext/>
        <w:spacing w:before="240" w:after="80"/>
      </w:pPr>
      <w:r>
        <w:rPr>
          <w:rFonts w:ascii="Times New Roman" w:hAnsi="Times New Roman"/>
          <w:b/>
          <w:color w:val="2B6CB0"/>
          <w:sz w:val="26"/>
        </w:rPr>
        <w:t>2. Market Share &amp; Media Classification Breakdown</w:t>
      </w:r>
    </w:p>
    <w:p>
      <w:pPr>
        <w:spacing w:after="120" w:line="276" w:lineRule="auto"/>
      </w:pPr>
      <w:r>
        <w:rPr>
          <w:rFonts w:ascii="Times New Roman" w:hAnsi="Times New Roman"/>
        </w:rPr>
        <w:t>Multi-table relational JOIN operations were applied across Invoice, InvoiceLine, Track, and Genre tables to track core demand vectors: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2016"/>
            <w:shd w:fill="2B6CB0"/>
            <w:tcMar>
              <w:top w:w="140" w:type="dxa"/>
              <w:bottom w:w="140" w:type="dxa"/>
              <w:left w:w="150" w:type="dxa"/>
              <w:right w:w="150" w:type="dxa"/>
            </w:tcMar>
          </w:tcPr>
          <w:p>
            <w:pPr>
              <w:jc w:val="center"/>
            </w:pPr>
            <w:r>
              <w:rPr>
                <w:b/>
                <w:color w:val="FFFFFF"/>
              </w:rPr>
              <w:t>Top Countries</w:t>
            </w:r>
          </w:p>
        </w:tc>
        <w:tc>
          <w:tcPr>
            <w:tcW w:type="dxa" w:w="1584"/>
            <w:shd w:fill="2B6CB0"/>
            <w:tcMar>
              <w:top w:w="140" w:type="dxa"/>
              <w:bottom w:w="140" w:type="dxa"/>
              <w:left w:w="150" w:type="dxa"/>
              <w:right w:w="150" w:type="dxa"/>
            </w:tcMar>
          </w:tcPr>
          <w:p>
            <w:pPr>
              <w:jc w:val="center"/>
            </w:pPr>
            <w:r>
              <w:rPr>
                <w:b/>
                <w:color w:val="FFFFFF"/>
              </w:rPr>
              <w:t>Total Revenue</w:t>
            </w:r>
          </w:p>
        </w:tc>
        <w:tc>
          <w:tcPr>
            <w:tcW w:type="dxa" w:w="1152"/>
            <w:shd w:fill="2B6CB0"/>
            <w:tcMar>
              <w:top w:w="140" w:type="dxa"/>
              <w:bottom w:w="140" w:type="dxa"/>
              <w:left w:w="150" w:type="dxa"/>
              <w:right w:w="150" w:type="dxa"/>
            </w:tcMar>
          </w:tcPr>
          <w:p>
            <w:pPr>
              <w:jc w:val="center"/>
            </w:pPr>
            <w:r>
              <w:rPr>
                <w:b/>
                <w:color w:val="FFFFFF"/>
              </w:rPr>
              <w:t>Invoices</w:t>
            </w:r>
          </w:p>
        </w:tc>
        <w:tc>
          <w:tcPr>
            <w:tcW w:type="dxa" w:w="2160"/>
            <w:shd w:fill="2B6CB0"/>
            <w:tcMar>
              <w:top w:w="140" w:type="dxa"/>
              <w:bottom w:w="140" w:type="dxa"/>
              <w:left w:w="150" w:type="dxa"/>
              <w:right w:w="150" w:type="dxa"/>
            </w:tcMar>
          </w:tcPr>
          <w:p>
            <w:pPr>
              <w:jc w:val="center"/>
            </w:pPr>
            <w:r>
              <w:rPr>
                <w:b/>
                <w:color w:val="FFFFFF"/>
              </w:rPr>
              <w:t>Top Genres</w:t>
            </w:r>
          </w:p>
        </w:tc>
        <w:tc>
          <w:tcPr>
            <w:tcW w:type="dxa" w:w="1728"/>
            <w:shd w:fill="2B6CB0"/>
            <w:tcMar>
              <w:top w:w="140" w:type="dxa"/>
              <w:bottom w:w="140" w:type="dxa"/>
              <w:left w:w="150" w:type="dxa"/>
              <w:right w:w="150" w:type="dxa"/>
            </w:tcMar>
          </w:tcPr>
          <w:p>
            <w:pPr>
              <w:jc w:val="center"/>
            </w:pPr>
            <w:r>
              <w:rPr>
                <w:b/>
                <w:color w:val="FFFFFF"/>
              </w:rPr>
              <w:t>Tracks Purchased</w:t>
            </w:r>
          </w:p>
        </w:tc>
        <w:tc>
          <w:tcPr>
            <w:tcW w:type="dxa" w:w="1152"/>
            <w:shd w:fill="2B6CB0"/>
            <w:tcMar>
              <w:top w:w="140" w:type="dxa"/>
              <w:bottom w:w="140" w:type="dxa"/>
              <w:left w:w="150" w:type="dxa"/>
              <w:right w:w="150" w:type="dxa"/>
            </w:tcMar>
          </w:tcPr>
          <w:p>
            <w:pPr>
              <w:jc w:val="center"/>
            </w:pPr>
            <w:r>
              <w:rPr>
                <w:b/>
                <w:color w:val="FFFFFF"/>
              </w:rPr>
              <w:t>Total Sales</w:t>
            </w:r>
          </w:p>
        </w:tc>
      </w:tr>
      <w:tr>
        <w:tc>
          <w:tcPr>
            <w:tcW w:type="dxa" w:w="2016"/>
            <w:tcMar>
              <w:top w:w="80" w:type="dxa"/>
              <w:bottom w:w="80" w:type="dxa"/>
              <w:left w:w="150" w:type="dxa"/>
              <w:right w:w="150" w:type="dxa"/>
            </w:tcMar>
            <w:shd w:fill="F7FAFC"/>
          </w:tcPr>
          <w:p>
            <w:pPr>
              <w:jc w:val="left"/>
            </w:pPr>
            <w:r>
              <w:t>United States</w:t>
            </w:r>
          </w:p>
        </w:tc>
        <w:tc>
          <w:tcPr>
            <w:tcW w:type="dxa" w:w="1584"/>
            <w:tcMar>
              <w:top w:w="80" w:type="dxa"/>
              <w:bottom w:w="80" w:type="dxa"/>
              <w:left w:w="150" w:type="dxa"/>
              <w:right w:w="150" w:type="dxa"/>
            </w:tcMar>
            <w:shd w:fill="F7FAFC"/>
          </w:tcPr>
          <w:p>
            <w:pPr>
              <w:jc w:val="right"/>
            </w:pPr>
            <w:r>
              <w:t>$523.06</w:t>
            </w:r>
          </w:p>
        </w:tc>
        <w:tc>
          <w:tcPr>
            <w:tcW w:type="dxa" w:w="1152"/>
            <w:tcMar>
              <w:top w:w="80" w:type="dxa"/>
              <w:bottom w:w="80" w:type="dxa"/>
              <w:left w:w="150" w:type="dxa"/>
              <w:right w:w="150" w:type="dxa"/>
            </w:tcMar>
            <w:shd w:fill="F7FAFC"/>
          </w:tcPr>
          <w:p>
            <w:pPr>
              <w:jc w:val="right"/>
            </w:pPr>
            <w:r>
              <w:t>91</w:t>
            </w:r>
          </w:p>
        </w:tc>
        <w:tc>
          <w:tcPr>
            <w:tcW w:type="dxa" w:w="2160"/>
            <w:tcMar>
              <w:top w:w="80" w:type="dxa"/>
              <w:bottom w:w="80" w:type="dxa"/>
              <w:left w:w="150" w:type="dxa"/>
              <w:right w:w="150" w:type="dxa"/>
            </w:tcMar>
            <w:shd w:fill="F7FAFC"/>
          </w:tcPr>
          <w:p>
            <w:pPr>
              <w:jc w:val="left"/>
            </w:pPr>
            <w:r>
              <w:t>Rock</w:t>
            </w:r>
          </w:p>
        </w:tc>
        <w:tc>
          <w:tcPr>
            <w:tcW w:type="dxa" w:w="1728"/>
            <w:tcMar>
              <w:top w:w="80" w:type="dxa"/>
              <w:bottom w:w="80" w:type="dxa"/>
              <w:left w:w="150" w:type="dxa"/>
              <w:right w:w="150" w:type="dxa"/>
            </w:tcMar>
            <w:shd w:fill="F7FAFC"/>
          </w:tcPr>
          <w:p>
            <w:pPr>
              <w:jc w:val="right"/>
            </w:pPr>
            <w:r>
              <w:t>835</w:t>
            </w:r>
          </w:p>
        </w:tc>
        <w:tc>
          <w:tcPr>
            <w:tcW w:type="dxa" w:w="1152"/>
            <w:tcMar>
              <w:top w:w="80" w:type="dxa"/>
              <w:bottom w:w="80" w:type="dxa"/>
              <w:left w:w="150" w:type="dxa"/>
              <w:right w:w="150" w:type="dxa"/>
            </w:tcMar>
            <w:shd w:fill="F7FAFC"/>
          </w:tcPr>
          <w:p>
            <w:pPr>
              <w:jc w:val="right"/>
            </w:pPr>
            <w:r>
              <w:t>$826.65</w:t>
            </w:r>
          </w:p>
        </w:tc>
      </w:tr>
      <w:tr>
        <w:tc>
          <w:tcPr>
            <w:tcW w:type="dxa" w:w="2016"/>
            <w:tcMar>
              <w:top w:w="80" w:type="dxa"/>
              <w:bottom w:w="80" w:type="dxa"/>
              <w:left w:w="150" w:type="dxa"/>
              <w:right w:w="150" w:type="dxa"/>
            </w:tcMar>
          </w:tcPr>
          <w:p>
            <w:pPr>
              <w:jc w:val="left"/>
            </w:pPr>
            <w:r>
              <w:t>Canada</w:t>
            </w:r>
          </w:p>
        </w:tc>
        <w:tc>
          <w:tcPr>
            <w:tcW w:type="dxa" w:w="1584"/>
            <w:tcMar>
              <w:top w:w="80" w:type="dxa"/>
              <w:bottom w:w="80" w:type="dxa"/>
              <w:left w:w="150" w:type="dxa"/>
              <w:right w:w="150" w:type="dxa"/>
            </w:tcMar>
          </w:tcPr>
          <w:p>
            <w:pPr>
              <w:jc w:val="right"/>
            </w:pPr>
            <w:r>
              <w:t>$303.96</w:t>
            </w:r>
          </w:p>
        </w:tc>
        <w:tc>
          <w:tcPr>
            <w:tcW w:type="dxa" w:w="1152"/>
            <w:tcMar>
              <w:top w:w="80" w:type="dxa"/>
              <w:bottom w:w="80" w:type="dxa"/>
              <w:left w:w="150" w:type="dxa"/>
              <w:right w:w="150" w:type="dxa"/>
            </w:tcMar>
          </w:tcPr>
          <w:p>
            <w:pPr>
              <w:jc w:val="right"/>
            </w:pPr>
            <w:r>
              <w:t>56</w:t>
            </w:r>
          </w:p>
        </w:tc>
        <w:tc>
          <w:tcPr>
            <w:tcW w:type="dxa" w:w="2160"/>
            <w:tcMar>
              <w:top w:w="80" w:type="dxa"/>
              <w:bottom w:w="80" w:type="dxa"/>
              <w:left w:w="150" w:type="dxa"/>
              <w:right w:w="150" w:type="dxa"/>
            </w:tcMar>
          </w:tcPr>
          <w:p>
            <w:pPr>
              <w:jc w:val="left"/>
            </w:pPr>
            <w:r>
              <w:t>Latin</w:t>
            </w:r>
          </w:p>
        </w:tc>
        <w:tc>
          <w:tcPr>
            <w:tcW w:type="dxa" w:w="1728"/>
            <w:tcMar>
              <w:top w:w="80" w:type="dxa"/>
              <w:bottom w:w="80" w:type="dxa"/>
              <w:left w:w="150" w:type="dxa"/>
              <w:right w:w="150" w:type="dxa"/>
            </w:tcMar>
          </w:tcPr>
          <w:p>
            <w:pPr>
              <w:jc w:val="right"/>
            </w:pPr>
            <w:r>
              <w:t>386</w:t>
            </w:r>
          </w:p>
        </w:tc>
        <w:tc>
          <w:tcPr>
            <w:tcW w:type="dxa" w:w="1152"/>
            <w:tcMar>
              <w:top w:w="80" w:type="dxa"/>
              <w:bottom w:w="80" w:type="dxa"/>
              <w:left w:w="150" w:type="dxa"/>
              <w:right w:w="150" w:type="dxa"/>
            </w:tcMar>
          </w:tcPr>
          <w:p>
            <w:pPr>
              <w:jc w:val="right"/>
            </w:pPr>
            <w:r>
              <w:t>$382.14</w:t>
            </w:r>
          </w:p>
        </w:tc>
      </w:tr>
      <w:tr>
        <w:tc>
          <w:tcPr>
            <w:tcW w:type="dxa" w:w="2016"/>
            <w:tcMar>
              <w:top w:w="80" w:type="dxa"/>
              <w:bottom w:w="80" w:type="dxa"/>
              <w:left w:w="150" w:type="dxa"/>
              <w:right w:w="150" w:type="dxa"/>
            </w:tcMar>
            <w:shd w:fill="F7FAFC"/>
          </w:tcPr>
          <w:p>
            <w:pPr>
              <w:jc w:val="left"/>
            </w:pPr>
            <w:r>
              <w:t>France</w:t>
            </w:r>
          </w:p>
        </w:tc>
        <w:tc>
          <w:tcPr>
            <w:tcW w:type="dxa" w:w="1584"/>
            <w:tcMar>
              <w:top w:w="80" w:type="dxa"/>
              <w:bottom w:w="80" w:type="dxa"/>
              <w:left w:w="150" w:type="dxa"/>
              <w:right w:w="150" w:type="dxa"/>
            </w:tcMar>
            <w:shd w:fill="F7FAFC"/>
          </w:tcPr>
          <w:p>
            <w:pPr>
              <w:jc w:val="right"/>
            </w:pPr>
            <w:r>
              <w:t>$195.10</w:t>
            </w:r>
          </w:p>
        </w:tc>
        <w:tc>
          <w:tcPr>
            <w:tcW w:type="dxa" w:w="1152"/>
            <w:tcMar>
              <w:top w:w="80" w:type="dxa"/>
              <w:bottom w:w="80" w:type="dxa"/>
              <w:left w:w="150" w:type="dxa"/>
              <w:right w:w="150" w:type="dxa"/>
            </w:tcMar>
            <w:shd w:fill="F7FAFC"/>
          </w:tcPr>
          <w:p>
            <w:pPr>
              <w:jc w:val="right"/>
            </w:pPr>
            <w:r>
              <w:t>35</w:t>
            </w:r>
          </w:p>
        </w:tc>
        <w:tc>
          <w:tcPr>
            <w:tcW w:type="dxa" w:w="2160"/>
            <w:tcMar>
              <w:top w:w="80" w:type="dxa"/>
              <w:bottom w:w="80" w:type="dxa"/>
              <w:left w:w="150" w:type="dxa"/>
              <w:right w:w="150" w:type="dxa"/>
            </w:tcMar>
            <w:shd w:fill="F7FAFC"/>
          </w:tcPr>
          <w:p>
            <w:pPr>
              <w:jc w:val="left"/>
            </w:pPr>
            <w:r>
              <w:t>Metal</w:t>
            </w:r>
          </w:p>
        </w:tc>
        <w:tc>
          <w:tcPr>
            <w:tcW w:type="dxa" w:w="1728"/>
            <w:tcMar>
              <w:top w:w="80" w:type="dxa"/>
              <w:bottom w:w="80" w:type="dxa"/>
              <w:left w:w="150" w:type="dxa"/>
              <w:right w:w="150" w:type="dxa"/>
            </w:tcMar>
            <w:shd w:fill="F7FAFC"/>
          </w:tcPr>
          <w:p>
            <w:pPr>
              <w:jc w:val="right"/>
            </w:pPr>
            <w:r>
              <w:t>264</w:t>
            </w:r>
          </w:p>
        </w:tc>
        <w:tc>
          <w:tcPr>
            <w:tcW w:type="dxa" w:w="1152"/>
            <w:tcMar>
              <w:top w:w="80" w:type="dxa"/>
              <w:bottom w:w="80" w:type="dxa"/>
              <w:left w:w="150" w:type="dxa"/>
              <w:right w:w="150" w:type="dxa"/>
            </w:tcMar>
            <w:shd w:fill="F7FAFC"/>
          </w:tcPr>
          <w:p>
            <w:pPr>
              <w:jc w:val="right"/>
            </w:pPr>
            <w:r>
              <w:t>$261.36</w:t>
            </w:r>
          </w:p>
        </w:tc>
      </w:tr>
      <w:tr>
        <w:tc>
          <w:tcPr>
            <w:tcW w:type="dxa" w:w="2016"/>
            <w:tcMar>
              <w:top w:w="80" w:type="dxa"/>
              <w:bottom w:w="80" w:type="dxa"/>
              <w:left w:w="150" w:type="dxa"/>
              <w:right w:w="150" w:type="dxa"/>
            </w:tcMar>
          </w:tcPr>
          <w:p>
            <w:pPr>
              <w:jc w:val="left"/>
            </w:pPr>
            <w:r>
              <w:t>Brazil</w:t>
            </w:r>
          </w:p>
        </w:tc>
        <w:tc>
          <w:tcPr>
            <w:tcW w:type="dxa" w:w="1584"/>
            <w:tcMar>
              <w:top w:w="80" w:type="dxa"/>
              <w:bottom w:w="80" w:type="dxa"/>
              <w:left w:w="150" w:type="dxa"/>
              <w:right w:w="150" w:type="dxa"/>
            </w:tcMar>
          </w:tcPr>
          <w:p>
            <w:pPr>
              <w:jc w:val="right"/>
            </w:pPr>
            <w:r>
              <w:t>$190.10</w:t>
            </w:r>
          </w:p>
        </w:tc>
        <w:tc>
          <w:tcPr>
            <w:tcW w:type="dxa" w:w="1152"/>
            <w:tcMar>
              <w:top w:w="80" w:type="dxa"/>
              <w:bottom w:w="80" w:type="dxa"/>
              <w:left w:w="150" w:type="dxa"/>
              <w:right w:w="150" w:type="dxa"/>
            </w:tcMar>
          </w:tcPr>
          <w:p>
            <w:pPr>
              <w:jc w:val="right"/>
            </w:pPr>
            <w:r>
              <w:t>35</w:t>
            </w:r>
          </w:p>
        </w:tc>
        <w:tc>
          <w:tcPr>
            <w:tcW w:type="dxa" w:w="2160"/>
            <w:tcMar>
              <w:top w:w="80" w:type="dxa"/>
              <w:bottom w:w="80" w:type="dxa"/>
              <w:left w:w="150" w:type="dxa"/>
              <w:right w:w="150" w:type="dxa"/>
            </w:tcMar>
          </w:tcPr>
          <w:p>
            <w:pPr>
              <w:jc w:val="left"/>
            </w:pPr>
            <w:r>
              <w:t>Alternative &amp; Punk</w:t>
            </w:r>
          </w:p>
        </w:tc>
        <w:tc>
          <w:tcPr>
            <w:tcW w:type="dxa" w:w="1728"/>
            <w:tcMar>
              <w:top w:w="80" w:type="dxa"/>
              <w:bottom w:w="80" w:type="dxa"/>
              <w:left w:w="150" w:type="dxa"/>
              <w:right w:w="150" w:type="dxa"/>
            </w:tcMar>
          </w:tcPr>
          <w:p>
            <w:pPr>
              <w:jc w:val="right"/>
            </w:pPr>
            <w:r>
              <w:t>244</w:t>
            </w:r>
          </w:p>
        </w:tc>
        <w:tc>
          <w:tcPr>
            <w:tcW w:type="dxa" w:w="1152"/>
            <w:tcMar>
              <w:top w:w="80" w:type="dxa"/>
              <w:bottom w:w="80" w:type="dxa"/>
              <w:left w:w="150" w:type="dxa"/>
              <w:right w:w="150" w:type="dxa"/>
            </w:tcMar>
          </w:tcPr>
          <w:p>
            <w:pPr>
              <w:jc w:val="right"/>
            </w:pPr>
            <w:r>
              <w:t>$241.56</w:t>
            </w:r>
          </w:p>
        </w:tc>
      </w:tr>
      <w:tr>
        <w:tc>
          <w:tcPr>
            <w:tcW w:type="dxa" w:w="2016"/>
            <w:tcMar>
              <w:top w:w="80" w:type="dxa"/>
              <w:bottom w:w="80" w:type="dxa"/>
              <w:left w:w="150" w:type="dxa"/>
              <w:right w:w="150" w:type="dxa"/>
            </w:tcMar>
            <w:shd w:fill="F7FAFC"/>
          </w:tcPr>
          <w:p>
            <w:pPr>
              <w:jc w:val="left"/>
            </w:pPr>
            <w:r>
              <w:t>Germany</w:t>
            </w:r>
          </w:p>
        </w:tc>
        <w:tc>
          <w:tcPr>
            <w:tcW w:type="dxa" w:w="1584"/>
            <w:tcMar>
              <w:top w:w="80" w:type="dxa"/>
              <w:bottom w:w="80" w:type="dxa"/>
              <w:left w:w="150" w:type="dxa"/>
              <w:right w:w="150" w:type="dxa"/>
            </w:tcMar>
            <w:shd w:fill="F7FAFC"/>
          </w:tcPr>
          <w:p>
            <w:pPr>
              <w:jc w:val="right"/>
            </w:pPr>
            <w:r>
              <w:t>$156.48</w:t>
            </w:r>
          </w:p>
        </w:tc>
        <w:tc>
          <w:tcPr>
            <w:tcW w:type="dxa" w:w="1152"/>
            <w:tcMar>
              <w:top w:w="80" w:type="dxa"/>
              <w:bottom w:w="80" w:type="dxa"/>
              <w:left w:w="150" w:type="dxa"/>
              <w:right w:w="150" w:type="dxa"/>
            </w:tcMar>
            <w:shd w:fill="F7FAFC"/>
          </w:tcPr>
          <w:p>
            <w:pPr>
              <w:jc w:val="right"/>
            </w:pPr>
            <w:r>
              <w:t>28</w:t>
            </w:r>
          </w:p>
        </w:tc>
        <w:tc>
          <w:tcPr>
            <w:tcW w:type="dxa" w:w="2160"/>
            <w:tcMar>
              <w:top w:w="80" w:type="dxa"/>
              <w:bottom w:w="80" w:type="dxa"/>
              <w:left w:w="150" w:type="dxa"/>
              <w:right w:w="150" w:type="dxa"/>
            </w:tcMar>
            <w:shd w:fill="F7FAFC"/>
          </w:tcPr>
          <w:p>
            <w:pPr>
              <w:jc w:val="left"/>
            </w:pPr>
            <w:r>
              <w:t>TV Shows</w:t>
            </w:r>
          </w:p>
        </w:tc>
        <w:tc>
          <w:tcPr>
            <w:tcW w:type="dxa" w:w="1728"/>
            <w:tcMar>
              <w:top w:w="80" w:type="dxa"/>
              <w:bottom w:w="80" w:type="dxa"/>
              <w:left w:w="150" w:type="dxa"/>
              <w:right w:w="150" w:type="dxa"/>
            </w:tcMar>
            <w:shd w:fill="F7FAFC"/>
          </w:tcPr>
          <w:p>
            <w:pPr>
              <w:jc w:val="right"/>
            </w:pPr>
            <w:r>
              <w:t>47</w:t>
            </w:r>
          </w:p>
        </w:tc>
        <w:tc>
          <w:tcPr>
            <w:tcW w:type="dxa" w:w="1152"/>
            <w:tcMar>
              <w:top w:w="80" w:type="dxa"/>
              <w:bottom w:w="80" w:type="dxa"/>
              <w:left w:w="150" w:type="dxa"/>
              <w:right w:w="150" w:type="dxa"/>
            </w:tcMar>
            <w:shd w:fill="F7FAFC"/>
          </w:tcPr>
          <w:p>
            <w:pPr>
              <w:jc w:val="right"/>
            </w:pPr>
            <w:r>
              <w:t>$93.53</w:t>
            </w:r>
          </w:p>
        </w:tc>
      </w:tr>
    </w:tbl>
    <w:p>
      <w:pPr>
        <w:spacing w:before="80"/>
      </w:pPr>
    </w:p>
    <w:p>
      <w:pPr>
        <w:keepNext/>
        <w:spacing w:before="240" w:after="80"/>
      </w:pPr>
      <w:r>
        <w:rPr>
          <w:rFonts w:ascii="Times New Roman" w:hAnsi="Times New Roman"/>
          <w:b/>
          <w:color w:val="2B6CB0"/>
          <w:sz w:val="26"/>
        </w:rPr>
        <w:t>3. Artist Commercial Capitalization rankings</w:t>
      </w:r>
    </w:p>
    <w:p>
      <w:pPr>
        <w:spacing w:after="120" w:line="276" w:lineRule="auto"/>
      </w:pPr>
      <w:r>
        <w:rPr>
          <w:rFonts w:ascii="Times New Roman" w:hAnsi="Times New Roman"/>
        </w:rPr>
        <w:t>Through intentional schema connection paths, the top 5 highest grossing musicians were isolated based on customer consumption volumes:</w:t>
      </w:r>
    </w:p>
    <w:p>
      <w:pPr>
        <w:spacing w:after="120" w:line="276" w:lineRule="auto"/>
        <w:ind w:left="360"/>
      </w:pPr>
      <w:r>
        <w:rPr>
          <w:rFonts w:ascii="Times New Roman" w:hAnsi="Times New Roman"/>
          <w:b/>
        </w:rPr>
        <w:t xml:space="preserve">1. Iron Maiden: </w:t>
      </w:r>
      <w:r>
        <w:rPr>
          <w:rFonts w:ascii="Times New Roman" w:hAnsi="Times New Roman"/>
        </w:rPr>
        <w:t>140 tracks sold | Total Gross Capitalization: $138.60</w:t>
      </w:r>
    </w:p>
    <w:p>
      <w:pPr>
        <w:spacing w:after="120" w:line="276" w:lineRule="auto"/>
        <w:ind w:left="360"/>
      </w:pPr>
      <w:r>
        <w:rPr>
          <w:rFonts w:ascii="Times New Roman" w:hAnsi="Times New Roman"/>
          <w:b/>
        </w:rPr>
        <w:t xml:space="preserve">2. U2: </w:t>
      </w:r>
      <w:r>
        <w:rPr>
          <w:rFonts w:ascii="Times New Roman" w:hAnsi="Times New Roman"/>
        </w:rPr>
        <w:t>107 tracks sold | Total Gross Capitalization: $105.93</w:t>
      </w:r>
    </w:p>
    <w:p>
      <w:pPr>
        <w:spacing w:after="120" w:line="276" w:lineRule="auto"/>
        <w:ind w:left="360"/>
      </w:pPr>
      <w:r>
        <w:rPr>
          <w:rFonts w:ascii="Times New Roman" w:hAnsi="Times New Roman"/>
          <w:b/>
        </w:rPr>
        <w:t xml:space="preserve">3. Metallica: </w:t>
      </w:r>
      <w:r>
        <w:rPr>
          <w:rFonts w:ascii="Times New Roman" w:hAnsi="Times New Roman"/>
        </w:rPr>
        <w:t>91 tracks sold | Total Gross Capitalization: $90.09</w:t>
      </w:r>
    </w:p>
    <w:p>
      <w:pPr>
        <w:spacing w:after="120" w:line="276" w:lineRule="auto"/>
        <w:ind w:left="360"/>
      </w:pPr>
      <w:r>
        <w:rPr>
          <w:rFonts w:ascii="Times New Roman" w:hAnsi="Times New Roman"/>
          <w:b/>
        </w:rPr>
        <w:t xml:space="preserve">4. Led Zeppelin: </w:t>
      </w:r>
      <w:r>
        <w:rPr>
          <w:rFonts w:ascii="Times New Roman" w:hAnsi="Times New Roman"/>
        </w:rPr>
        <w:t>87 tracks sold | Total Gross Capitalization: $86.13</w:t>
      </w:r>
    </w:p>
    <w:p>
      <w:pPr>
        <w:spacing w:after="120" w:line="276" w:lineRule="auto"/>
        <w:ind w:left="360"/>
      </w:pPr>
      <w:r>
        <w:rPr>
          <w:rFonts w:ascii="Times New Roman" w:hAnsi="Times New Roman"/>
          <w:b/>
        </w:rPr>
        <w:t xml:space="preserve">5. Lost: </w:t>
      </w:r>
      <w:r>
        <w:rPr>
          <w:rFonts w:ascii="Times New Roman" w:hAnsi="Times New Roman"/>
        </w:rPr>
        <w:t>41 tracks sold | Total Gross Capitalization: $81.59</w:t>
      </w:r>
    </w:p>
    <w:p>
      <w:pPr>
        <w:keepNext/>
        <w:spacing w:before="240" w:after="80"/>
      </w:pPr>
      <w:r>
        <w:rPr>
          <w:rFonts w:ascii="Times New Roman" w:hAnsi="Times New Roman"/>
          <w:b/>
          <w:color w:val="2B6CB0"/>
          <w:sz w:val="26"/>
        </w:rPr>
        <w:t>4. Primary Strategic Recommendations</w:t>
      </w:r>
    </w:p>
    <w:p>
      <w:pPr>
        <w:spacing w:after="120" w:line="276" w:lineRule="auto"/>
      </w:pPr>
      <w:r>
        <w:rPr>
          <w:rFonts w:ascii="Times New Roman" w:hAnsi="Times New Roman"/>
          <w:b/>
        </w:rPr>
        <w:t xml:space="preserve">• Core Catalog Optimization: </w:t>
      </w:r>
      <w:r>
        <w:rPr>
          <w:rFonts w:ascii="Times New Roman" w:hAnsi="Times New Roman"/>
        </w:rPr>
        <w:t>Consumer purchasing trends reflect heavy vertical preference concentration. Over 70% of absolute catalog acquisition lives within Rock, Metal, and Alternative sub-categories. Procurement investments, algorithm features, and platform landing layouts must directly optimize for these core cohorts to maximize acquisition margins.</w:t>
      </w:r>
    </w:p>
    <w:p>
      <w:pPr>
        <w:spacing w:after="120" w:line="276" w:lineRule="auto"/>
      </w:pPr>
      <w:r>
        <w:rPr>
          <w:rFonts w:ascii="Times New Roman" w:hAnsi="Times New Roman"/>
          <w:b/>
        </w:rPr>
        <w:t xml:space="preserve">• High-Margin Premium Monetization: </w:t>
      </w:r>
      <w:r>
        <w:rPr>
          <w:rFonts w:ascii="Times New Roman" w:hAnsi="Times New Roman"/>
        </w:rPr>
        <w:t>Niche media elements such as TV Shows and Drama generate highly lucrative per-unit margins ($2.00+ relative average) despite lower transactional counts. Cultivating exclusive box sets and premium serialized audio packages will create a powerful high-yield income stream with minimal overhead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