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w:body>
    <w:p>
      <w:pPr>
        <w:pStyle w:val="style35"/>
      </w:pPr>
      <w:r>
        <w:rPr>
          <w:rFonts w:ascii="sansserif" w:cs="sansserif"/>
        </w:rPr>
        <w:t>XLSearch</w:t>
      </w:r>
      <w:r>
        <w:rPr/>
        <w:t>: A Search Engine for Spreadsheets</w:t>
      </w:r>
    </w:p>
    <w:p>
      <w:pPr>
        <w:pStyle w:val="style36"/>
      </w:pPr>
      <w:r>
        <w:rPr/>
        <w:t>Michael Kohlhase, Corneliu Prodescu</w:t>
      </w:r>
      <w:r>
        <w:br/>
      </w:r>
      <w:r>
        <w:rPr/>
        <w:t>Jacobs University Bremen</w:t>
      </w:r>
      <w:r>
        <w:br/>
      </w:r>
      <w:hyperlink r:id="idp20944">
        <w:r>
          <w:rPr>
            <w:rFonts w:ascii="typewriter" w:cs="typewriter"/>
          </w:rPr>
          <w:t>http://kwarc.info</w:t>
        </w:r>
      </w:hyperlink>
      <external-link>
        <ref xmlns="http://dlmf.nist.gov/LaTeXML" class="ltx_url" href="http://kwarc.info">
          <text font="typewriter">http://kwarc.info</text>
        </ref>
        <extra r:id="idp20944"/>
      </external-link>
    </w:p>
    <w:p>
      <w:pPr>
        <w:pStyle w:val="style36"/>
      </w:pPr>
      <w:r>
        <w:rPr/>
        <w:t>Christian Liguda</w:t>
      </w:r>
      <w:r>
        <w:br/>
      </w:r>
      <w:r>
        <w:rPr/>
        <w:t>DFKI Bremen</w:t>
      </w:r>
      <w:r>
        <w:br/>
      </w:r>
      <w:hyperlink r:id="idp23568">
        <w:r>
          <w:rPr>
            <w:rFonts w:ascii="typewriter" w:cs="typewriter"/>
          </w:rPr>
          <w:t>http://www.dfki.de/cps/staff/liguda</w:t>
        </w:r>
      </w:hyperlink>
      <external-link>
        <ref xmlns="http://dlmf.nist.gov/LaTeXML" class="ltx_url" href="http://www.dfki.de/cps/staff/liguda">
          <text font="typewriter">http://www.dfki.de/cps/staff/liguda</text>
        </ref>
        <extra r:id="idp23568"/>
      </external-link>
    </w:p>
    <w:p>
      <w:pPr>
        <w:pStyle w:val="style46"/>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46"/>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idp27792"/>
      <w:bookmarkEnd w:id="idp27792"/>
    </w:p>
    <w:p>
      <w:pPr>
        <w:pStyle w:val="style1"/>
      </w:pPr>
      <w:r>
        <w:rPr/>
        <w:t>Introduction</w:t>
      </w:r>
    </w:p>
    <w:p>
      <w:pPr>
        <w:pStyle w:val="empty"/>
      </w:pPr>
      <w:bookmarkStart w:name="S1.p1" w:id="idp29952"/>
      <w:bookmarkEnd w:id="idp29952"/>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xml:space="preserve"> </w:t>
      </w:r>
      <w:r>
        <w:rPr/>
        <w:t>. But we have hardly any tools to mine this immense body of reified knowledge, models, and programmatic experience.</w:t>
      </w:r>
    </w:p>
    <w:p>
      <w:pPr>
        <w:pStyle w:val="empty"/>
      </w:pPr>
      <w:bookmarkStart w:name="S1.p2" w:id="idp33328"/>
      <w:bookmarkEnd w:id="idp33328"/>
    </w:p>
    <w:p>
      <w:pPr>
        <w:pStyle w:val="style0"/>
      </w:pPr>
      <w:r>
        <w:rPr/>
        <w:t>Existing tools center around risk management for spreadsheets via </w:t>
      </w:r>
      <w:bookmarkStart w:id="idp34464" w:name="@xml:id"/>
      <w:bookmarkEnd w:id="idp34464"/>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xml:space="preserve"> </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http://schemas.openxmlformats.org/officeDocument/2006/math" xmlns:mml="http://www.w3.org/1998/Math/MathML" xmlns:m="http://schemas.openxmlformats.org/officeDocument/2006/math">
          <w:rPr>
            <w:rFonts w:ascii="Cambria Math" w:eastAsia="Cambria Math" w:hAnsi="Cambria Math" w:cs="Cambria Math"/>
          </w:rPr>
          <t>1.5×</t>
        </r>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7</t>
            </r>
          </sup>
        </sSup>
        1.5\times 10^{7}
      </omml:oMath>
      <w:r>
        <w:rPr/>
        <w:t> hits.</w:t>
      </w:r>
    </w:p>
    <w:p>
      <w:pPr>
        <w:pStyle w:val="empty"/>
      </w:pPr>
      <w:bookmarkStart w:name="S1.p3" w:id="idp77984"/>
      <w:bookmarkEnd w:id="idp77984"/>
    </w:p>
    <w:p>
      <w:pPr>
        <w:pStyle w:val="style0"/>
      </w:pPr>
      <w:r>
        <w:rPr/>
        <w:t>For </w:t>
      </w:r>
      <w:r>
        <w:rPr>
          <w:i/>
        </w:rPr>
        <w:t>global services on spreadsheets</w:t>
      </w:r>
      <w:r>
        <w:rPr/>
        <w:t> we need tools that scale to very large corpora. In practice, this means two things: </w:t>
      </w:r>
      <w:bookmarkStart w:id="idp79520" w:name="@xml:id"/>
      <w:bookmarkEnd w:id="idp79520"/>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idp84528"/>
      <w:bookmarkEnd w:id="idp84528"/>
    </w:p>
    <w:p>
      <w:pPr>
        <w:pStyle w:val="style0"/>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idp96784"/>
      <w:bookmarkEnd w:id="idp96784"/>
    </w:p>
    <w:p>
      <w:pPr>
        <w:pStyle w:val="style0"/>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style0"/>
      </w:pPr>
      <w:r>
        <w:rPr/>
        <w:t>In such a situation, a spreadsheet formula search engine like </w:t>
      </w:r>
      <w:r>
        <w:rPr>
          <w:rFonts w:ascii="sansserif" w:cs="sansserif"/>
        </w:rPr>
        <w:t>XLSearch</w:t>
      </w:r>
      <w:r>
        <w:rPr/>
        <w:t> can help, since it can search for variants of the linear extrapolation formula</w:t>
      </w:r>
    </w:p>
    <w:p>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x-a</t>
            </r>
          </num>
          <den>
            <r>
              <w:rPr>
                <w:rFonts w:ascii="Cambria Math" w:eastAsia="Cambria Math" w:hAnsi="Cambria Math" w:cs="Cambria Math"/>
              </w:rPr>
              <t>b-a</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f(x)\sim f(a)+\frac{x-a}{b-a}(f(b)-f(a))
      </omml:oMath>
    </w:p>
    <w:p>
      <w:pPr>
        <w:pStyle w:val="style0"/>
      </w:pPr>
      <w:r>
        <w:rPr/>
        <w:t>for a function </w:t>
      </w:r>
      <omml:oMath>
        <r xmlns="http://schemas.openxmlformats.org/officeDocument/2006/math">
          <w:rPr xmlns:mml="http://www.w3.org/1998/Math/MathML" xmlns:m="http://schemas.openxmlformats.org/officeDocument/2006/math">
            <w:rFonts w:ascii="Cambria Math" w:eastAsia="Cambria Math" w:hAnsi="Cambria Math" w:cs="Cambria Math"/>
          </w:rPr>
          <t>f</t>
        </r>
        f
      </omml:oMath>
      <w:r>
        <w:rPr/>
        <w:t> from its values at </w:t>
      </w:r>
      <omml:oMath>
        <r xmlns="http://schemas.openxmlformats.org/officeDocument/2006/math" xmlns:mml="http://www.w3.org/1998/Math/MathML" xmlns:m="http://schemas.openxmlformats.org/officeDocument/2006/math">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idp143776"/>
      <w:bookmarkEnd w:id="idp143776"/>
    </w:p>
    <w:p>
      <w:pPr>
        <w:pStyle w:val="style1"/>
      </w:pPr>
      <w:r>
        <w:rPr/>
        <w:t>Spreadsheet Formulae in MathML: </w:t>
      </w:r>
      <w:r>
        <w:rPr>
          <w:rFonts w:ascii="sansserif" w:cs="sansserif"/>
        </w:rPr>
        <w:t>SPSHP</w:t>
      </w:r>
      <w:r>
        <w:rPr/>
        <w:t> Ontology</w:t>
      </w:r>
    </w:p>
    <w:p>
      <w:pPr>
        <w:pStyle w:val="empty"/>
      </w:pPr>
      <w:bookmarkStart w:name="S2.p1" w:id="idp147152"/>
      <w:bookmarkEnd w:id="idp147152"/>
    </w:p>
    <w:p>
      <w:pPr>
        <w:pStyle w:val="style0"/>
      </w:pPr>
      <w:r>
        <w:rPr/>
        <w:t>MathML </w:t>
      </w:r>
      <w:r>
        <w:rPr/>
        <w:t>[</w:t>
      </w:r>
      <w:hyperlink w:anchor="bib.bib4">
        <w:r>
          <w:rPr/>
          <w:t>1</w:t>
        </w:r>
      </w:hyperlink>
      <w:r>
        <w:rPr/>
        <w:t>]</w:t>
      </w:r>
      <w:r>
        <w:rPr/>
        <w:t xml:space="preserve"> </w:t>
      </w:r>
      <w:r>
        <w:rPr/>
        <w:t> is a W3C standard for the representation of mathematical formulae. It contains two two sub-languages: </w:t>
      </w:r>
      <w:bookmarkStart w:id="idp149872" w:name="@xml:id"/>
      <w:bookmarkEnd w:id="idp149872"/>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idp159584"/>
      <w:bookmarkEnd w:id="idp159584"/>
    </w:p>
    <w:tb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idp229184"/>
      <w:bookmarkEnd w:id="idp229184"/>
    </w:p>
    <w:p>
      <w:pPr>
        <w:pStyle w:val="style0"/>
      </w:pPr>
      <w:r>
        <w:rPr/>
        <w:t>So the main task in defining a MathML representation for spreadsheet formulae lies in providing a set of CDs that specify the underlying vocabulary.</w:t>
      </w:r>
    </w:p>
    <w:p>
      <w:pPr>
        <w:pStyle w:val="empty"/>
      </w:pPr>
      <w:bookmarkStart w:name="S2.p3" w:id="idp230752"/>
      <w:bookmarkEnd w:id="idp230752"/>
    </w:p>
    <w:p>
      <w:pPr>
        <w:pStyle w:val="style0"/>
      </w:pPr>
      <w:r>
        <w:rPr/>
        <w:t>We provide a set of content dictionaries </w:t>
      </w:r>
      <w:r>
        <w:rPr/>
        <w:t>[]</w:t>
      </w:r>
      <w:r>
        <w:rPr/>
        <w:t xml:space="preserve"> </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 xml:space="preserve"> </w:t>
      </w:r>
      <w:r>
        <w:rPr/>
        <w:t>).</w:t>
      </w:r>
    </w:p>
    <w:p>
      <w:pPr>
        <w:pStyle w:val="empty"/>
      </w:pPr>
      <w:bookmarkStart w:name="LABEL:fig:ontology" w:id="idp238848"/>
      <w:bookmarkEnd w:id="idp238848"/>
    </w:p>
    <w:r>
      <w:rPr/>
      <w:drawing>
        <wp:inline distT="0" distB="0" distL="0" distR="0">
          <wp:extent cx="3248025" cy="1504950"/>
          <wp:docPr id="1" name="Picture 0" descr="dot_green.png"/>
          <a:graphic>
            <a:graphicData uri="http://schemas.openxmlformats.org/drawingml/2006/picture">
              <pic:pic>
                <pic:nvPicPr>
                  <pic:cNvPr id="0" name="don't know what I should write here"/>
                  <pic:cNvPicPr/>
                </pic:nvPicPr>
                <pic:blipFill>
                  <a:blip r:embed="idm9376"/>
                  <picturus id="idm9376" reference="tikz/spshp/spshp"/>
                  <a:stretch>
                    <a:fillRect/>
                  </a:stretch>
                </pic:blipFill>
                <pic:spPr>
                  <a:xfrm>
                    <a:off x="0" y="0"/>
                    <a:ext cx="3248025" cy="1504950"/>
                  </a:xfrm>
                  <a:prstGeom prst="rect">
                    <a:avLst/>
                  </a:prstGeom>
                </pic:spPr>
              </pic:pic>
            </a:graphicData>
          </a:graphic>
        </wp:inline>
      </w:drawing>
    </w:r>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idm1312"/>
      <w:bookmarkEnd w:id="idm1312"/>
    </w:p>
    <w:p>
      <w:pPr>
        <w:pStyle w:val="style0"/>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idp270592"/>
      <w:bookmarkEnd w:id="idp270592"/>
    </w:p>
    <w:p>
      <w:pPr>
        <w:pStyle w:val="style0"/>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idp281024"/>
      <w:bookmarkEnd w:id="idp281024"/>
    </w:p>
    <w:p>
      <w:pPr>
        <w:pStyle w:val="style0"/>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idp288112"/>
      <w:bookmarkEnd w:id="idp288112"/>
    </w:p>
    <w:r>
      <w:rPr/>
      <w:drawing>
        <wp:inline distT="0" distB="0" distL="0" distR="0">
          <wp:extent cx="1304925" cy="904875"/>
          <wp:docPr id="1" name="Picture 0" descr="dot_green.png"/>
          <a:graphic>
            <a:graphicData uri="http://schemas.openxmlformats.org/drawingml/2006/picture">
              <pic:pic>
                <pic:nvPicPr>
                  <pic:cNvPr id="0" name="don't know what I should write here"/>
                  <pic:cNvPicPr/>
                </pic:nvPicPr>
                <pic:blipFill>
                  <a:blip r:embed="idp290112"/>
                  <picturus id="idp290112" reference="tikz/spshp/interop"/>
                  <a:stretch>
                    <a:fillRect/>
                  </a:stretch>
                </pic:blipFill>
                <pic:spPr>
                  <a:xfrm>
                    <a:off x="0" y="0"/>
                    <a:ext cx="1304925" cy="904875"/>
                  </a:xfrm>
                  <a:prstGeom prst="rect">
                    <a:avLst/>
                  </a:prstGeom>
                </pic:spPr>
              </pic:pic>
            </a:graphicData>
          </a:graphic>
        </wp:inline>
      </w:drawing>
    </w:r>
    <w:r>
      <w:rPr/>
      <w:t>Interop. in </w:t>
    </w:r>
    <w:r>
      <w:rPr>
        <w:rFonts w:ascii="sansserif" w:cs="sansserif"/>
      </w:rPr>
      <w:t>SPSHP</w:t>
    </w:r>
    <w:p>
      <w:pPr>
        <w:pStyle w:val="empty"/>
      </w:pPr>
      <w:bookmarkStart w:name="S2.SS0.SSS0.P2.p2" w:id="idp295792"/>
      <w:bookmarkEnd w:id="idp295792"/>
    </w:p>
    <w:p>
      <w:pPr>
        <w:pStyle w:val="style0"/>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idp305888">
        <w:r>
          <w:rPr>
            <w:rStyle w:val="superscript"/>
          </w:rPr>
          <w:t> [1]</w:t>
        </w:r>
      </w:hyperlink>
      <footnote>
        <w:bookmarkStart w:name="idp305888" w:id="idp306528"/>
        <w:bookmarkEnd w:id="idp306528"/>
        <w:r>
          <w:rPr/>
          <w:t>represented as dashed arrows in Figure </w:t>
        </w:r>
        <w:hyperlink w:anchor="LABEL:fig:interop">
          <w:r>
            <w:rPr/>
            <w:t>3</w:t>
          </w:r>
        </w:hyperlink>
        <w:r>
          <w:rPr/>
          <w:t>; the label </w:t>
        </w:r>
        <omml:oMath>
          <r xmlns="http://schemas.openxmlformats.org/officeDocument/2006/math" xmlns:mml="http://www.w3.org/1998/Math/MathML" xmlns:m="http://schemas.openxmlformats.org/officeDocument/2006/math">
            <w:rPr>
              <w:rFonts w:ascii="Cambria Math" w:eastAsia="Cambria Math" w:hAnsi="Cambria Math" w:cs="Cambria Math"/>
            </w:rPr>
            <t>𝗃:ψ</t>
          </r>
          \mathsf{j}:\psi
        </omml:oMath>
        <w:r>
          <w:rPr/>
          <w:t> specifies the name </w:t>
        </w:r>
        <omml:oMath>
          <r xmlns="http://schemas.openxmlformats.org/officeDocument/2006/math">
            <w:rPr xmlns:mml="http://www.w3.org/1998/Math/MathML" xmlns:m="http://schemas.openxmlformats.org/officeDocument/2006/math">
              <w:rFonts w:ascii="Cambria Math" w:eastAsia="Cambria Math" w:hAnsi="Cambria Math" w:cs="Cambria Math"/>
            </w:rPr>
            <t>𝗂</t>
          </r>
          \mathsf{i}
        </omml:oMath>
        <w:r>
          <w:rPr/>
          <w:t> and the translation </w:t>
        </w:r>
        <omml:oMath>
          <r xmlns="http://schemas.openxmlformats.org/officeDocument/2006/math">
            <w:rPr xmlns:mml="http://www.w3.org/1998/Math/MathML" xmlns:m="http://schemas.openxmlformats.org/officeDocument/2006/math">
              <w:rFonts w:ascii="Cambria Math" w:eastAsia="Cambria Math" w:hAnsi="Cambria Math" w:cs="Cambria Math"/>
            </w:rPr>
            <t>φ</t>
          </r>
          \varphi
        </omml:oMath>
        <w:r>
          <w:rPr/>
          <w:t>.</w:t>
        </w:r>
      </footnote>
      <w:r>
        <w:rPr/>
        <w:t> map concepts of the source theory to expressions in the target theory. For the view </w:t>
      </w:r>
      <omml:oMath>
        <r xmlns="http://schemas.openxmlformats.org/officeDocument/2006/math" xmlns:mml="http://www.w3.org/1998/Math/MathML" xmlns:m="http://schemas.openxmlformats.org/officeDocument/2006/math">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http://schemas.openxmlformats.org/officeDocument/2006/math" xmlns:mml="http://www.w3.org/1998/Math/MathML" xmlns:m="http://schemas.openxmlformats.org/officeDocument/2006/math">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idp343504"/>
      <w:bookmarkEnd w:id="idp343504"/>
    </w:p>
    <w:p>
      <w:pPr>
        <w:pStyle w:val="style1"/>
      </w:pPr>
      <w:r>
        <w:rPr/>
        <w:t>Indexing and Querying Formulae by Unification</w:t>
      </w:r>
    </w:p>
    <w:p>
      <w:pPr>
        <w:pStyle w:val="empty"/>
      </w:pPr>
      <w:bookmarkStart w:name="S3.p1" w:id="idp346512"/>
      <w:bookmarkEnd w:id="idp346512"/>
    </w:p>
    <w:p>
      <w:pPr>
        <w:pStyle w:val="style0"/>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xml:space="preserve"> </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idp352416">
        <w:r>
          <w:rPr>
            <w:rStyle w:val="superscript"/>
          </w:rPr>
          <w:t> [2]</w:t>
        </w:r>
      </w:hyperlink>
      <footnote>
        <w:bookmarkStart w:name="idp352416" w:id="idp353056"/>
        <w:bookmarkEnd w:id="idp353056"/>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xml:space="preserve"> </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idp364256"/>
      <w:bookmarkEnd w:id="idp364256"/>
    </w:p>
    <w:p>
      <w:pPr>
        <w:pStyle w:val="style0"/>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idp368640"/>
      <w:bookmarkEnd w:id="idp368640"/>
    </w:p>
    <w:p>
      <w:pPr>
        <w:pStyle w:val="style0"/>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idp373008">
        <w:r>
          <w:rPr>
            <w:rStyle w:val="superscript"/>
          </w:rPr>
          <w:t> [3]</w:t>
        </w:r>
      </w:hyperlink>
      <footnote>
        <w:bookmarkStart w:name="idp373008" w:id="idp373648"/>
        <w:bookmarkEnd w:id="idp373648"/>
        <w:r>
          <w:rPr/>
          <w:t>However, they do depend on the complexity of the query</w:t>
        </w:r>
      </footnote>
      <w:r>
        <w:rPr/>
        <w:t>, averaging at 40 ms per query.</w:t>
      </w:r>
    </w:p>
    <w:p>
      <w:pPr>
        <w:pStyle w:val="empty"/>
      </w:pPr>
      <w:bookmarkStart w:name="LABEL:fig:sys_struct" w:id="idp374384"/>
      <w:bookmarkEnd w:id="idp374384"/>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376352"/>
                  <picturus id="idp376352" reference="rest-arch"/>
                  <a:stretch>
                    <a:fillRect/>
                  </a:stretch>
                </pic:blipFill>
                <pic:spPr>
                  <a:xfrm>
                    <a:off x="0" y="0"/>
                    <a:ext cx="NaN" cy="NaN"/>
                  </a:xfrm>
                  <a:prstGeom prst="rect">
                    <a:avLst/>
                  </a:prstGeom>
                </pic:spPr>
              </pic:pic>
            </a:graphicData>
          </a:graphic>
        </wp:inline>
      </w:drawing>
    </w:r>
    <w:r>
      <w:rPr/>
      <w:t>MWS-0.5 System Structure</w:t>
    </w:r>
    <w:p>
      <w:pPr>
        <w:pStyle w:val="empty"/>
        <w:SectPr/>
        <!--This is just to create a new section -->
      </w:pPr>
    </w:p>
    <w:p>
      <w:pPr>
        <w:pStyle w:val="empty"/>
      </w:pPr>
      <w:bookmarkStart w:name="LABEL:sec:harvesting" w:id="idp380800"/>
      <w:bookmarkEnd w:id="idp380800"/>
    </w:p>
    <w:p>
      <w:pPr>
        <w:pStyle w:val="style1"/>
      </w:pPr>
      <w:r>
        <w:rPr/>
        <w:t>Harvesting Formulae from Spreadsheets</w:t>
      </w:r>
    </w:p>
    <w:p>
      <w:pPr>
        <w:pStyle w:val="empty"/>
      </w:pPr>
      <w:bookmarkStart w:name="S4.p1" w:id="idp383760"/>
      <w:bookmarkEnd w:id="idp383760"/>
    </w:p>
    <w:p>
      <w:pPr>
        <w:pStyle w:val="style0"/>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xml:space="preserve"> </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idp399168"/>
      <w:bookmarkEnd w:id="idp399168"/>
    </w:p>
    <w:p>
      <w:pPr>
        <w:pStyle w:val="style2"/>
      </w:pPr>
      <w:r>
        <w:rPr/>
        <w:t>The Harvest Structure</w:t>
      </w:r>
    </w:p>
    <w:p>
      <w:pPr>
        <w:pStyle w:val="empty"/>
      </w:pPr>
      <w:bookmarkStart w:name="S4.SS1.p1" w:id="idp401488"/>
      <w:bookmarkEnd w:id="idp401488"/>
    </w:p>
    <w:p>
      <w:pPr>
        <w:pStyle w:val="style0"/>
      </w:pPr>
      <w:r>
        <w:rPr/>
        <w:t>Following </w:t>
      </w:r>
      <w:r>
        <w:rPr/>
        <w:t>[</w:t>
      </w:r>
      <w:hyperlink w:anchor="bib.bib2">
        <w:r>
          <w:rPr/>
          <w:t>6</w:t>
        </w:r>
      </w:hyperlink>
      <w:r>
        <w:rPr/>
        <w:t>]</w:t>
      </w:r>
      <w:r>
        <w:rPr/>
        <w:t xml:space="preserve"> </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 xml:space="preserve"> </w:t>
      </w:r>
      <w:r>
        <w:rPr/>
        <w:t>.</w:t>
      </w:r>
    </w:p>
    <w:p>
      <w:pPr>
        <w:pStyle w:val="empty"/>
      </w:pPr>
      <w:bookmarkStart w:name="" w:id="idp417696"/>
      <w:bookmarkEnd w:id="idp417696"/>
    </w:p>
    <w:p>
      <w:pPr>
        <w:pStyle w:val="empty"/>
      </w:pPr>
      <w:bookmarkStart w:name="LABEL:fig:winograd" w:id="idp419104"/>
      <w:bookmarkEnd w:id="idp419104"/>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420640"/>
                  <picturus id="idp420640" reference="Winograd"/>
                  <a:stretch>
                    <a:fillRect/>
                  </a:stretch>
                </pic:blipFill>
                <pic:spPr>
                  <a:xfrm>
                    <a:off x="0" y="0"/>
                    <a:ext cx="NaN" cy="NaN"/>
                  </a:xfrm>
                  <a:prstGeom prst="rect">
                    <a:avLst/>
                  </a:prstGeom>
                </pic:spPr>
              </pic:pic>
            </a:graphicData>
          </a:graphic>
        </wp:inline>
      </w:drawing>
    </w:r>
    <w:r>
      <w:rPr/>
      <w:t>Spreadsheet with Linear Extrapolation</w:t>
    </w:r>
    <w:p>
      <w:pPr>
        <w:pStyle w:val="empty"/>
      </w:pPr>
      <w:bookmarkStart w:name="LABEL:fig:snippet" w:id="idp424176"/>
      <w:bookmarkEnd w:id="idp424176"/>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425872"/>
                  <picturus id="idp425872" reference="SnippetXHTML"/>
                  <a:stretch>
                    <a:fillRect/>
                  </a:stretch>
                </pic:blipFill>
                <pic:spPr>
                  <a:xfrm>
                    <a:off x="0" y="0"/>
                    <a:ext cx="NaN" cy="NaN"/>
                  </a:xfrm>
                  <a:prstGeom prst="rect">
                    <a:avLst/>
                  </a:prstGeom>
                </pic:spPr>
              </pic:pic>
            </a:graphicData>
          </a:graphic>
        </wp:inline>
      </w:drawing>
    </w:r>
    <w:r>
      <w:rPr/>
      <w:t>Snippet of B7:F11 with Legends</w:t>
    </w:r>
    <w:r>
      <w:rPr/>
      <w:t>A spreadsheet and a cutout of a computed functional block</w:t>
    </w:r>
    <w:p>
      <w:pPr>
        <w:pStyle w:val="empty"/>
      </w:pPr>
      <w:bookmarkStart w:name="LABEL:tab:harvest" w:id="idp431488"/>
      <w:bookmarkEnd w:id="idp431488"/>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idp444064"/>
      <w:bookmarkEnd w:id="idp444064"/>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idp453136"/>
      <w:bookmarkEnd w:id="idp453136"/>
    </w:p>
    <w:p>
      <w:pPr>
        <w:pStyle w:val="style2"/>
      </w:pPr>
      <w:r>
        <w:rPr/>
        <w:t>Formula Parsing</w:t>
      </w:r>
    </w:p>
    <w:p>
      <w:pPr>
        <w:pStyle w:val="empty"/>
      </w:pPr>
      <w:bookmarkStart w:name="S4.SS2.p1" w:id="idp455456"/>
      <w:bookmarkEnd w:id="idp455456"/>
    </w:p>
    <w:p>
      <w:pPr>
        <w:pStyle w:val="style0"/>
      </w:pPr>
      <w:r>
        <w:rPr/>
        <w:t>We used the open source parser generator Antlr </w:t>
      </w:r>
      <w:r>
        <w:rPr/>
        <w:t>[</w:t>
      </w:r>
      <w:hyperlink w:anchor="bib.bib20">
        <w:r>
          <w:rPr/>
          <w:t>15</w:t>
        </w:r>
      </w:hyperlink>
      <w:r>
        <w:rPr/>
        <w:t>]</w:t>
      </w:r>
      <w:r>
        <w:rPr/>
        <w:t xml:space="preserve"> </w:t>
      </w:r>
      <w:r>
        <w:rPr/>
        <w:t> to create a parser that transforms an Excel</w:t>
      </w:r>
      <w:hyperlink w:anchor="idp458432">
        <w:r>
          <w:rPr>
            <w:rStyle w:val="superscript"/>
          </w:rPr>
          <w:t> [4]</w:t>
        </w:r>
      </w:hyperlink>
      <footnote>
        <w:bookmarkStart w:name="idp458432" w:id="idp459072"/>
        <w:bookmarkEnd w:id="idp459072"/>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idp467424"/>
      <w:bookmarkEnd w:id="idp467424"/>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470976"/>
                  <picturus id="idp470976" reference="ASTLE"/>
                  <a:stretch>
                    <a:fillRect/>
                  </a:stretch>
                </pic:blipFill>
                <pic:spPr>
                  <a:xfrm>
                    <a:off x="0" y="0"/>
                    <a:ext cx="NaN" cy="NaN"/>
                  </a:xfrm>
                  <a:prstGeom prst="rect">
                    <a:avLst/>
                  </a:prstGeom>
                </pic:spPr>
              </pic:pic>
            </a:graphicData>
          </a:graphic>
        </wp:inline>
      </w:drawing>
    </w:r>
    <w:r>
      <w:rPr/>
      <w:t>Abstract Syntax Tree of </w:t>
    </w:r>
    <w:r>
      <w:rPr/>
      <w:t>C7+(E</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3)*(D7-C7)—</w:t>
    </w:r>
    <w:p>
      <w:pPr>
        <w:pStyle w:val="empty"/>
      </w:pPr>
      <w:bookmarkStart w:name="LABEL:subsec:extraction" w:id="idp501088"/>
      <w:bookmarkEnd w:id="idp501088"/>
    </w:p>
    <w:p>
      <w:pPr>
        <w:pStyle w:val="style2"/>
      </w:pPr>
      <w:r>
        <w:rPr/>
        <w:t>Structure Detection in Spreadsheets</w:t>
      </w:r>
    </w:p>
    <w:p>
      <w:pPr>
        <w:pStyle w:val="empty"/>
      </w:pPr>
      <w:bookmarkStart w:name="S4.SS3.p1" w:id="idp503792"/>
      <w:bookmarkEnd w:id="idp503792"/>
    </w:p>
    <w:p>
      <w:pPr>
        <w:pStyle w:val="style0"/>
      </w:pPr>
      <w:r>
        <w:rPr/>
        <w:t>To find functional blocks and their legends, we use a simplification of our structure detection unit (SDU, see </w:t>
      </w:r>
      <w:r>
        <w:rPr/>
        <w:t>[</w:t>
      </w:r>
      <w:hyperlink w:anchor="bib.bib11">
        <w:r>
          <w:rPr/>
          <w:t>11</w:t>
        </w:r>
      </w:hyperlink>
      <w:r>
        <w:rPr/>
        <w:t>]</w:t>
      </w:r>
      <w:r>
        <w:rPr/>
        <w:t xml:space="preserve"> </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idp508720"/>
      <w:bookmarkEnd w:id="idp508720"/>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idp514416">
        <w:r>
          <w:rPr>
            <w:rStyle w:val="superscript"/>
          </w:rPr>
          <w:t> [5]</w:t>
        </w:r>
      </w:hyperlink>
      <footnote>
        <w:bookmarkStart w:name="idp514416" w:id="idp515056"/>
        <w:bookmarkEnd w:id="idp515056"/>
        <w:r>
          <w:rPr/>
          <w:t>These cells can classified by other heuristics or via decision trees (see </w:t>
        </w:r>
        <w:r>
          <w:rPr/>
          <w:t>[</w:t>
        </w:r>
        <w:hyperlink w:anchor="bib.bib11">
          <w:r>
            <w:rPr/>
            <w:t>11</w:t>
          </w:r>
        </w:hyperlink>
        <w:r>
          <w:rPr/>
          <w:t>]</w:t>
        </w:r>
        <w:r>
          <w:rPr/>
          <w:t xml:space="preserve"> </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idp526608"/>
      <w:bookmarkEnd w:id="idp526608"/>
    </w:p>
    <w:p>
      <w:pPr>
        <w:pStyle w:val="style0"/>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idp538400"/>
      <w:bookmarkEnd w:id="idp538400"/>
    </w:p>
    <w:p>
      <w:pPr>
        <w:pStyle w:val="style2"/>
      </w:pPr>
      <w:r>
        <w:rPr/>
        <w:t>Harvest Generation</w:t>
      </w:r>
    </w:p>
    <w:p>
      <w:pPr>
        <w:pStyle w:val="empty"/>
      </w:pPr>
      <w:bookmarkStart w:name="S4.SS4.p1" w:id="idp540768"/>
      <w:bookmarkEnd w:id="idp540768"/>
    </w:p>
    <w:p>
      <w:pPr>
        <w:pStyle w:val="style0"/>
      </w:pPr>
      <w:r>
        <w:rPr/>
        <w:t>For the generation of a XHTML snippet (see the one in Figure </w:t>
      </w:r>
      <w:hyperlink w:anchor="LABEL:fig:snippet">
        <w:r>
          <w:rPr/>
          <w:t>b</w:t>
        </w:r>
      </w:hyperlink>
      <w:r>
        <w:rPr/>
        <w:t>) from the results of the area detection, we use the Apache POI API </w:t>
      </w:r>
      <w:r>
        <w:rPr/>
        <w:t>[]</w:t>
      </w:r>
      <w:r>
        <w:rPr/>
        <w:t xml:space="preserve"> </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 xml:space="preserve"> </w:t>
      </w:r>
      <w:r>
        <w:rPr/>
        <w:t>.</w:t>
      </w:r>
    </w:p>
    <w:p>
      <w:pPr>
        <w:pStyle w:val="empty"/>
      </w:pPr>
      <w:bookmarkStart w:name="S4.SS4.p2" w:id="idp546048"/>
      <w:bookmarkEnd w:id="idp546048"/>
    </w:p>
    <w:p>
      <w:pPr>
        <w:pStyle w:val="style0"/>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idp553072"/>
      <w:bookmarkEnd w:id="idp553072"/>
    </w:p>
    <w:p>
      <w:pPr>
        <w:pStyle w:val="style1"/>
      </w:pPr>
      <w:r>
        <w:rPr>
          <w:rFonts w:ascii="sansserif" w:cs="sansserif"/>
        </w:rPr>
        <w:t>XLSearch</w:t>
      </w:r>
      <w:r>
        <w:rPr/>
        <w:t>, a Search Engine</w:t>
      </w:r>
    </w:p>
    <w:p>
      <w:pPr>
        <w:pStyle w:val="empty"/>
      </w:pPr>
      <w:bookmarkStart w:name="S5.p1" w:id="idp556704"/>
      <w:bookmarkEnd w:id="idp556704"/>
    </w:p>
    <w:p>
      <w:pPr>
        <w:pStyle w:val="style0"/>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idp562192"/>
      <w:bookmarkEnd w:id="idp562192"/>
    </w:p>
    <w:p>
      <w:pPr>
        <w:pStyle w:val="style0"/>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idp574720"/>
      <w:bookmarkEnd w:id="idp574720"/>
    </w:p>
    <w:tb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3)*(D7-C7)—</w:t>
    </w:r>
    <w:p>
      <w:pPr>
        <w:pStyle w:val="Paragraphtitle"/>
      </w:pPr>
      <w:r>
        <w:rPr/>
        <w:t>Front End</w:t>
      </w:r>
    </w:p>
    <w:p>
      <w:pPr>
        <w:pStyle w:val="empty"/>
      </w:pPr>
      <w:bookmarkStart w:name="S5.SS4.SSS0.P1.p1" w:id="idp721552"/>
      <w:bookmarkEnd w:id="idp721552"/>
    </w:p>
    <w:p>
      <w:pPr>
        <w:pStyle w:val="style0"/>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idp728928"/>
      <w:bookmarkEnd w:id="idp728928"/>
    </w:p>
    <w:p>
      <w:pPr>
        <w:pStyle w:val="style0"/>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idp733248"/>
      <w:bookmarkEnd w:id="idp733248"/>
    </w:p>
    <w:p>
      <w:pPr>
        <w:pStyle w:val="style0"/>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idp741008"/>
      <w:bookmarkEnd w:id="idp741008"/>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 the index for linear extrapolation formulae.</w:t>
      </w:r>
    </w:p>
    <w:p>
      <w:pPr>
        <w:pStyle w:val="empty"/>
      </w:pPr>
      <w:bookmarkStart w:name="LABEL:fig:frontend" w:id="idp745552"/>
      <w:bookmarkEnd w:id="idp745552"/>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747472"/>
                  <picturus id="idp747472" reference="xlsearch-frontend"/>
                  <a:stretch>
                    <a:fillRect/>
                  </a:stretch>
                </pic:blipFill>
                <pic:spPr>
                  <a:xfrm>
                    <a:off x="0" y="0"/>
                    <a:ext cx="NaN" cy="NaN"/>
                  </a:xfrm>
                  <a:prstGeom prst="rect">
                    <a:avLst/>
                  </a:prstGeom>
                </pic:spPr>
              </pic:pic>
            </a:graphicData>
          </a:graphic>
        </wp:inline>
      </w:drawing>
    </w:r>
    <w:r>
      <w:rPr/>
      <w:t>The </w:t>
    </w:r>
    <w:r>
      <w:rPr>
        <w:rFonts w:ascii="sansserif" w:cs="sansserif"/>
      </w:rPr>
      <w:t>XLSearch</w:t>
    </w:r>
    <w:r>
      <w:rPr/>
      <w:t> Web Front End</w:t>
    </w:r>
    <w:p>
      <w:pPr>
        <w:pStyle w:val="empty"/>
      </w:pPr>
      <w:bookmarkStart w:name="S5.SS4.SSS0.P1.p2" w:id="idp753040"/>
      <w:bookmarkEnd w:id="idp753040"/>
    </w:p>
    <w:p>
      <w:pPr>
        <w:pStyle w:val="style0"/>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idp761440"/>
      <w:bookmarkEnd w:id="idp761440"/>
    </w:p>
    <w:p>
      <w:pPr>
        <w:pStyle w:val="style0"/>
      </w:pPr>
      <w:r>
        <w:rPr/>
        <w:t>We have deployed an instance of </w:t>
      </w:r>
      <w:r>
        <w:rPr>
          <w:rFonts w:ascii="sansserif" w:cs="sansserif"/>
        </w:rPr>
        <w:t>XLSearch</w:t>
      </w:r>
      <w:r>
        <w:rPr/>
        <w:t> at </w:t>
      </w:r>
      <w:hyperlink r:id="idp763472">
        <w:r>
          <w:rPr>
            <w:rFonts w:ascii="typewriter" w:cs="typewriter"/>
          </w:rPr>
          <w:t>http://search.mathweb.org/xl/</w:t>
        </w:r>
      </w:hyperlink>
      <external-link>
        <ref xmlns="http://dlmf.nist.gov/LaTeXML" class="ltx_url" href="http://search.mathweb.org/xl/">
          <text font="typewriter">http://search.mathweb.org/xl/</text>
        </ref>
        <extra r:id="idp763472"/>
      </external-link>
      <w:r>
        <w:rPr/>
        <w:t> which indexes the EUSES corpus  </w:t>
      </w:r>
      <w:r>
        <w:rPr/>
        <w:t>[</w:t>
      </w:r>
      <w:hyperlink w:anchor="bib.bib7">
        <w:r>
          <w:rPr/>
          <w:t>5</w:t>
        </w:r>
      </w:hyperlink>
      <w:r>
        <w:rPr/>
        <w:t>]</w:t>
      </w:r>
      <w:r>
        <w:rPr/>
        <w:t xml:space="preserve"> </w:t>
      </w:r>
      <w:r>
        <w:rPr/>
        <w:t> with ca. 4.5 thousand spreadsheets. </w:t>
      </w:r>
    </w:p>
    <w:p>
      <w:pPr>
        <w:pStyle w:val="empty"/>
        <w:SectPr/>
        <!--This is just to create a new section -->
      </w:pPr>
    </w:p>
    <w:p>
      <w:pPr>
        <w:pStyle w:val="empty"/>
      </w:pPr>
      <w:bookmarkStart w:name="LABEL:sec:concl" w:id="idp767696"/>
      <w:bookmarkEnd w:id="idp767696"/>
    </w:p>
    <w:p>
      <w:pPr>
        <w:pStyle w:val="style1"/>
      </w:pPr>
      <w:r>
        <w:rPr/>
        <w:t>Conclusion</w:t>
      </w:r>
    </w:p>
    <w:p>
      <w:pPr>
        <w:pStyle w:val="empty"/>
      </w:pPr>
      <w:bookmarkStart w:name="S6.p1" w:id="idp770704"/>
      <w:bookmarkEnd w:id="idp770704"/>
    </w:p>
    <w:p>
      <w:pPr>
        <w:pStyle w:val="style0"/>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idp772944"/>
      <w:bookmarkEnd w:id="idp772944"/>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idp778832"/>
      <w:bookmarkEnd w:id="idp778832"/>
    </w:p>
    <w:p>
      <w:pPr>
        <w:pStyle w:val="style0"/>
      </w:pPr>
      <w:r>
        <w:rPr/>
        <w:t>As the average query time is in range of 10-50 milliseconds, searches can even be utilized for very interactive applications. For instance, a variation of Netspeak </w:t>
      </w:r>
      <w:r>
        <w:rPr/>
        <w:t>[]</w:t>
      </w:r>
      <w:r>
        <w:rPr/>
        <w:t xml:space="preserve"> </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idp782064"/>
      <w:bookmarkEnd w:id="idp782064"/>
    </w:p>
    <w:p>
      <w:pPr>
        <w:pStyle w:val="style0"/>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idp787104"/>
      <w:bookmarkEnd w:id="idp787104"/>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xml:space="preserve"> </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idp791760"/>
      <w:bookmarkEnd w:id="idp791760"/>
    </w:p>
    <w:p>
      <w:pPr>
        <w:pStyle w:val="style0"/>
      </w:pPr>
      <w:r>
        <w:rPr/>
        <w:t>Finally, we are thinking about including cognitive cues like the user-selected names for cells and ranges (see e.g. </w:t>
      </w:r>
      <w:r>
        <w:rPr/>
        <w:t>[</w:t>
      </w:r>
      <w:hyperlink w:anchor="bib.bib10">
        <w:r>
          <w:rPr/>
          <w:t>2</w:t>
        </w:r>
      </w:hyperlink>
      <w:r>
        <w:rPr/>
        <w:t>]</w:t>
      </w:r>
      <w:r>
        <w:rPr/>
        <w:t xml:space="preserve"> </w:t>
      </w:r>
      <w:r>
        <w:rPr/>
        <w:t>) into the search </w:t>
      </w:r>
      <w:r>
        <w:rPr/>
        <w:t>process as additional keywords.</w:t>
      </w:r>
    </w:p>
    <w:p>
      <w:pPr>
        <w:pStyle w:val="Paragraphtitle"/>
      </w:pPr>
      <w:r>
        <w:rPr/>
        <w:t>Acknowledgements</w:t>
      </w:r>
    </w:p>
    <w:p>
      <w:pPr>
        <w:pStyle w:val="empty"/>
      </w:pPr>
      <w:bookmarkStart w:name="S6.SS4.SSS0.Px1.p1" w:id="idp796928"/>
      <w:bookmarkEnd w:id="idp796928"/>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empty"/>
        <w:SectPr/>
        <!--This is just to create a new section -->
      </w:pPr>
    </w:p>
    <w:p>
      <w:pPr>
        <w:pStyle w:val="style1"/>
      </w:pPr>
      <w:r>
        <w:rPr/>
        <w:t>References</w:t>
      </w:r>
    </w:p>
    <w:p>
      <w:pPr>
        <w:pStyle w:val="Bibliographyitem"/>
      </w:pPr>
      <w:bookmarkStart w:id="idp801616" w:name="bib.bib4"/>
      <w:r>
        <w:rPr/>
        <w:t>1</w:t>
      </w:r>
      <w:bookmarkEnd w:id="idp801616"/>
      <w:r>
        <w:rPr/>
        <w:t xml:space="preserve"> </w:t>
      </w:r>
      <w:r>
        <w:rPr>
          <w:rStyle w:val="bibauthor"/>
        </w:rPr>
        <w:t>Ausbrooks</w:t>
      </w:r>
      <w:r>
        <w:rPr>
          <w:rStyle w:val="bibauthor"/>
        </w:rPr>
        <w:t> et al.</w:t>
      </w:r>
      <w:r>
        <w:rPr/>
        <w:t xml:space="preserve"> </w:t>
      </w:r>
      <w:r>
        <w:rPr>
          <w:rStyle w:val="bibfullauthors"/>
        </w:rPr>
        <w:t>Ausbrooks, Buswell, Carlisle, Chavchanidze, Dalmas, Devitt, Diaz, Dooley, Hunter, Ion, Kohlhase, Lazrek, Libbrecht, Miller, Miner, Sargent, Smith, Soiffer, Sutor,  and Watt</w:t>
      </w:r>
      <w:r>
        <w:rPr>
          <w:rStyle w:val="bibyear"/>
        </w:rPr>
        <w:t>2010</w:t>
      </w:r>
      <w:r>
        <w:rPr/>
        <w:t xml:space="preserve"> </w:t>
      </w:r>
      <w:r>
        <w:rPr>
          <w:rStyle w:val="bibtype"/>
        </w:rPr>
        <w:t>Technical report</w:t>
      </w:r>
      <w:r>
        <w:rPr/>
        <w:t xml:space="preserve"> </w:t>
      </w:r>
      <w:r>
        <w:rPr>
          <w:rStyle w:val="bibtitle"/>
        </w:rPr>
        <w:t>Mathematical Markup Language (MathML) Version 3.0</w:t>
      </w:r>
      <w:r>
        <w:rPr/>
        <w:t xml:space="preserve"> </w:t>
      </w:r>
      <w:r>
        <w:rPr/>
        <w:t>1</w:t>
      </w:r>
      <w:r>
        <w:rPr/>
        <w:t xml:space="preserve"> </w:t>
      </w:r>
      <w:r>
        <w:rPr>
          <w:rStyle w:val="bibauthor2"/>
        </w:rPr>
        <w:t>R. Ausbrooks, S. Buswell, D. Carlisle, G. Chavchanidze, S. Dalmas, S. Devitt, A. Diaz, S. Dooley, R. Hunter, P. Ion, M. Kohlhase, A. Lazrek, P. Libbrecht, B. Miller, R. Miner, M. Sargent, B. Smith, N. Soiffer, R. Sutor and S. Watt</w:t>
      </w:r>
      <w:r>
        <w:rPr>
          <w:rStyle w:val="bibpublicationdate"/>
        </w:rPr>
        <w:t>2010</w:t>
      </w:r>
      <w:r>
        <w:rPr>
          <w:rStyle w:val="bibtitle2"/>
        </w:rPr>
        <w:t>Mathematical Markup Language (MathML) Version 3.0</w:t>
      </w:r>
      <w:r>
        <w:rPr/>
        <w:t>,</w:t>
      </w:r>
      <w:r>
        <w:rPr>
          <w:rStyle w:val="bibtype2"/>
        </w:rPr>
        <w:t>Technical report</w:t>
      </w:r>
      <w:r>
        <w:rPr>
          <w:rStyle w:val="biborganization"/>
        </w:rPr>
        <w:t>World Wide Web Consortium (W3C)</w:t>
      </w:r>
      <w:r>
        <w:rPr/>
        <w:t>.</w:t>
      </w:r>
      <w:r>
        <w:rPr/>
        <w:t>Cited by: </w:t>
      </w:r>
      <w:hyperlink w:anchor="S2.p1">
        <w:r>
          <w:rPr/>
          <w:t>2</w:t>
        </w:r>
      </w:hyperlink>
      <w:r>
        <w:rPr/>
        <w:t>.</w:t>
      </w:r>
    </w:p>
    <w:p/>
    <w:p>
      <w:pPr>
        <w:pStyle w:val="Bibliographyitem"/>
      </w:pPr>
      <w:bookmarkStart w:id="idp821808" w:name="bib.bib10"/>
      <w:r>
        <w:rPr/>
        <w:t>2</w:t>
      </w:r>
      <w:bookmarkEnd w:id="idp821808"/>
      <w:r>
        <w:rPr/>
        <w:t xml:space="preserve"> </w:t>
      </w:r>
      <w:r>
        <w:rPr>
          <w:rStyle w:val="bibauthor"/>
        </w:rPr>
        <w:t>Bewig</w:t>
      </w:r>
      <w:r>
        <w:rPr/>
        <w:t xml:space="preserve"> </w:t>
      </w:r>
      <w:r>
        <w:rPr>
          <w:rStyle w:val="bibyear"/>
        </w:rPr>
        <w:t>2003</w:t>
      </w:r>
      <w:r>
        <w:rPr/>
        <w:t xml:space="preserve"> </w:t>
      </w:r>
      <w:r>
        <w:rPr>
          <w:rStyle w:val="bibtitle"/>
        </w:rPr>
        <w:t>In Excel, Cell Names Spell Speed, Safety</w:t>
      </w:r>
      <w:r>
        <w:rPr/>
        <w:t xml:space="preserve"> </w:t>
      </w:r>
      <w:r>
        <w:rPr/>
        <w:t>2</w:t>
      </w:r>
      <w:r>
        <w:rPr/>
        <w:t xml:space="preserve"> </w:t>
      </w:r>
      <w:r>
        <w:rPr>
          <w:rStyle w:val="bibauthor2"/>
        </w:rPr>
        <w:t>P. L. Bewig</w:t>
      </w:r>
      <w:r>
        <w:rPr>
          <w:rStyle w:val="bibpublicationdate"/>
        </w:rPr>
        <w:t>2003-11</w:t>
      </w:r>
      <w:r>
        <w:rPr>
          <w:rStyle w:val="bibtitle2"/>
        </w:rPr>
        <w:t>In Excel, Cell Names Spell Speed, Safety</w:t>
      </w:r>
      <w:r>
        <w:rPr/>
        <w:t>,</w:t>
      </w:r>
      <w:r>
        <w:rPr>
          <w:rStyle w:val="bibjournal"/>
        </w:rPr>
        <w:t>Journal of Accountancy</w:t>
      </w:r>
      <w:r>
        <w:rPr/>
        <w:t>.</w:t>
      </w:r>
      <w:r>
        <w:rPr/>
        <w:t>External Links: </w:t>
      </w:r>
      <w:hyperlink r:id="idp835072">
        <w:r>
          <w:rPr>
            <w:rStyle w:val="biblinks"/>
          </w:rPr>
          <w:t>Link</w:t>
        </w:r>
      </w:hyperlink>
      <external-link>
        <ref xmlns="http://dlmf.nist.gov/LaTeXML" href="http://www.journalofaccountancy.com/issues/2003/nov/inexcelcellnamesspellspeedsafety.htm" class="ltx_bib_external">Link</ref>
        <extra r:id="idp835072"/>
      </external-link>
      <w:r>
        <w:rPr/>
        <w:t>.</w:t>
      </w:r>
      <w:r>
        <w:rPr/>
        <w:t>Cited by: </w:t>
      </w:r>
      <w:hyperlink w:anchor="S6.SS4.SSS0.P2.p2">
        <w:r>
          <w:rPr/>
          <w:t>6</w:t>
        </w:r>
      </w:hyperlink>
      <w:r>
        <w:rPr/>
        <w:t>.</w:t>
      </w:r>
    </w:p>
    <w:p/>
    <w:p>
      <w:pPr>
        <w:pStyle w:val="Bibliographyitem"/>
      </w:pPr>
      <w:bookmarkStart w:id="idp838992" w:name="bib.bib16"/>
      <w:r>
        <w:rPr/>
        <w:t>3</w:t>
      </w:r>
      <w:bookmarkEnd w:id="idp838992"/>
      <w:r>
        <w:rPr/>
        <w:t xml:space="preserve"> </w:t>
      </w:r>
      <w:r>
        <w:rPr>
          <w:rStyle w:val="bibauthor"/>
        </w:rPr>
        <w:t>Carette</w:t>
      </w:r>
      <w:r>
        <w:rPr>
          <w:rStyle w:val="bibauthor"/>
        </w:rPr>
        <w:t> et al.</w:t>
      </w:r>
      <w:r>
        <w:rPr/>
        <w:t xml:space="preserve"> </w:t>
      </w:r>
      <w:r>
        <w:rPr>
          <w:rStyle w:val="bibfullauthors"/>
        </w:rPr>
        <w:t>Carette, Dixon, Sacerdoti Coen,  and Watt</w:t>
      </w:r>
      <w:r>
        <w:rPr>
          <w:rStyle w:val="bibyear"/>
        </w:rPr>
        <w:t>2009</w:t>
      </w:r>
      <w:r>
        <w:rPr/>
        <w:t xml:space="preserve"> </w:t>
      </w:r>
      <w:r>
        <w:rPr>
          <w:rStyle w:val="bibtitle"/>
        </w:rPr>
        <w:t>MKM/Calculemus Proceedings</w:t>
      </w:r>
      <w:r>
        <w:rPr/>
        <w:t xml:space="preserve"> </w:t>
      </w:r>
      <w:r>
        <w:rPr/>
        <w:t>3</w:t>
      </w:r>
      <w:r>
        <w:rPr/>
        <w:t xml:space="preserve"> </w:t>
      </w:r>
      <w:r>
        <w:rPr/>
        <w:t>J. Carette, L. Dixon, C. Sacerdoti Coen and S. M. Watt (Eds.)</w:t>
      </w:r>
      <w:r>
        <w:rPr>
          <w:rStyle w:val="bibpublicationdate"/>
        </w:rPr>
        <w:t>2009-07</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
      <w:pPr>
        <w:pStyle w:val="Bibliographyitem"/>
      </w:pPr>
      <w:bookmarkStart w:id="idp857904" w:name="bib.bib15"/>
      <w:r>
        <w:rPr/>
        <w:t>4</w:t>
      </w:r>
      <w:bookmarkEnd w:id="idp857904"/>
      <w:r>
        <w:rPr/>
        <w:t xml:space="preserve"> </w:t>
      </w:r>
      <w:r>
        <w:rPr>
          <w:rStyle w:val="bibauthor"/>
        </w:rPr>
        <w:t>Jeuring</w:t>
      </w:r>
      <w:r>
        <w:rPr>
          <w:rStyle w:val="bibauthor"/>
        </w:rPr>
        <w:t> et al.</w:t>
      </w:r>
      <w:r>
        <w:rPr/>
        <w:t xml:space="preserve"> </w:t>
      </w:r>
      <w:r>
        <w:rPr>
          <w:rStyle w:val="bibfullauthors"/>
        </w:rPr>
        <w:t>Jeuring, Campbell, Carette, Dos Reis, Sojka, Wenzel,  and Sorge</w:t>
      </w:r>
      <w:r>
        <w:rPr/>
        <w:t>CICM12</w:t>
      </w:r>
      <w:r>
        <w:rPr/>
        <w:t xml:space="preserve"> </w:t>
      </w:r>
      <w:r>
        <w:rPr>
          <w:rStyle w:val="bibyear"/>
        </w:rPr>
        <w:t>2012</w:t>
      </w:r>
      <w:r>
        <w:rPr/>
        <w:t xml:space="preserve"> </w:t>
      </w:r>
      <w:r>
        <w:rPr>
          <w:rStyle w:val="bibtitle"/>
        </w:rPr>
        <w:t>Intelligent computer mathematics</w:t>
      </w:r>
      <w:r>
        <w:rPr/>
        <w:t xml:space="preserve"> </w:t>
      </w:r>
      <w:r>
        <w:rPr/>
        <w:t>4</w:t>
      </w:r>
      <w:r>
        <w:rPr/>
        <w:t xml:space="preserve"> </w:t>
      </w:r>
      <w:r>
        <w:rPr/>
        <w:t>J. Jeuring, J. A. Campbell, J. Carette, G. Dos Reis, P. Sojka, M. Wenzel and V. Sorge (Eds.)</w:t>
      </w:r>
      <w:r>
        <w:rPr>
          <w:rStyle w:val="bibpublicationdate"/>
        </w:rPr>
        <w:t>2012</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
      <w:pPr>
        <w:pStyle w:val="Bibliographyitem"/>
      </w:pPr>
      <w:bookmarkStart w:id="idp877856" w:name="bib.bib7"/>
      <w:r>
        <w:rPr/>
        <w:t>5</w:t>
      </w:r>
      <w:bookmarkEnd w:id="idp877856"/>
      <w:r>
        <w:rPr/>
        <w:t xml:space="preserve"> </w:t>
      </w:r>
      <w:r>
        <w:rPr>
          <w:rStyle w:val="bibauthor"/>
        </w:rPr>
        <w:t>Fisher and Rothermel</w:t>
      </w:r>
      <w:r>
        <w:rPr/>
        <w:t xml:space="preserve"> </w:t>
      </w:r>
      <w:r>
        <w:rPr>
          <w:rStyle w:val="bibyear"/>
        </w:rPr>
        <w:t>2005</w:t>
      </w:r>
      <w:r>
        <w:rPr/>
        <w:t xml:space="preserve"> </w:t>
      </w:r>
      <w:r>
        <w:rPr>
          <w:rStyle w:val="bibtitle"/>
        </w:rPr>
        <w:t>The euses spreadsheet corpus: a shared resource for supporting experimentation with spreadsheet dependability mechanisms</w:t>
      </w:r>
      <w:r>
        <w:rPr/>
        <w:t xml:space="preserve"> </w:t>
      </w:r>
      <w:r>
        <w:rPr/>
        <w:t>5</w:t>
      </w:r>
      <w:r>
        <w:rPr/>
        <w:t xml:space="preserve"> </w:t>
      </w:r>
      <w:r>
        <w:rPr>
          <w:rStyle w:val="bibauthor2"/>
        </w:rPr>
        <w:t>M. Fisher and G. Rothermel</w:t>
      </w:r>
      <w:r>
        <w:rPr>
          <w:rStyle w:val="bibpublicationdate"/>
        </w:rPr>
        <w:t>2005</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 </w:t>
      </w:r>
      <w:hyperlink w:anchor="S5.SS4.SSS0.P2.p1">
        <w:r>
          <w:rPr/>
          <w:t>5</w:t>
        </w:r>
      </w:hyperlink>
      <w:r>
        <w:rPr/>
        <w:t>.</w:t>
      </w:r>
    </w:p>
    <w:p/>
    <w:p>
      <w:pPr>
        <w:pStyle w:val="Bibliographyitem"/>
      </w:pPr>
      <w:bookmarkStart w:id="idp895536" w:name="bib.bib2"/>
      <w:r>
        <w:rPr/>
        <w:t>6</w:t>
      </w:r>
      <w:bookmarkEnd w:id="idp895536"/>
      <w:r>
        <w:rPr/>
        <w:t xml:space="preserve"> </w:t>
      </w:r>
      <w:r>
        <w:rPr>
          <w:rStyle w:val="bibauthor"/>
        </w:rPr>
        <w:t>Kohlhase and Kohlhase</w:t>
      </w:r>
      <w:r>
        <w:rPr/>
        <w:t xml:space="preserve"> </w:t>
      </w:r>
      <w:r>
        <w:rPr>
          <w:rStyle w:val="bibyear"/>
        </w:rPr>
        <w:t>2009</w:t>
      </w:r>
      <w:r>
        <w:rPr/>
        <w:t xml:space="preserve"> </w:t>
      </w:r>
      <w:r>
        <w:rPr>
          <w:rStyle w:val="bibtitle"/>
        </w:rPr>
        <w:t>Compensating the computational bias of spreadsheets with MKM techniques</w:t>
      </w:r>
      <w:r>
        <w:rPr/>
        <w:t xml:space="preserve"> </w:t>
      </w:r>
      <w:r>
        <w:rPr/>
        <w:t>6</w:t>
      </w:r>
      <w:r>
        <w:rPr/>
        <w:t xml:space="preserve"> </w:t>
      </w:r>
      <w:r>
        <w:rPr>
          <w:rStyle w:val="bibauthor2"/>
        </w:rPr>
        <w:t>A. Kohlhase and M. Kohlhase</w:t>
      </w:r>
      <w:r>
        <w:rPr>
          <w:rStyle w:val="bibpublicationdate"/>
        </w:rPr>
        <w:t>2009-07</w:t>
      </w:r>
      <w:r>
        <w:rPr>
          <w:rStyle w:val="bibtitle2"/>
        </w:rPr>
        <w:t>Compensating the computational bias of spreadsheets with MKM techniques</w:t>
      </w:r>
      <w:r>
        <w:rPr/>
        <w:t>,</w:t>
      </w:r>
      <w:r>
        <w:rPr/>
        <w:t>in </w:t>
      </w:r>
      <w:hyperlink w:anchor="bib.bib16">
        <w:r>
          <w:rPr/>
          <w:t>3</w:t>
        </w:r>
      </w:hyperlink>
      <w:r>
        <w:rPr/>
        <w:t xml:space="preserve"> </w:t>
      </w:r>
      <w:r>
        <w:rPr/>
        <w:t>,</w:t>
      </w:r>
      <w:r>
        <w:rPr/>
        <w:t> pp. </w:t>
      </w:r>
      <w:r>
        <w:rPr>
          <w:rStyle w:val="bibpages"/>
        </w:rPr>
        <w:t>357–372</w:t>
      </w:r>
      <w:r>
        <w:rPr/>
        <w:t>.</w:t>
      </w:r>
      <w:r>
        <w:rPr/>
        <w:t>External Links: </w:t>
      </w:r>
      <w:hyperlink r:id="idp911680">
        <w:r>
          <w:rPr>
            <w:rStyle w:val="biblinks"/>
          </w:rPr>
          <w:t>Link</w:t>
        </w:r>
      </w:hyperlink>
      <external-link>
        <ref xmlns="http://dlmf.nist.gov/LaTeXML" href="http://kwarc.info/kohlhase/papers/mkm09-sachs.pdf" class="ltx_bib_external">Link</ref>
        <extra r:id="idp911680"/>
      </external-link>
      <w:r>
        <w:rPr/>
        <w:t>.</w:t>
      </w:r>
      <w:r>
        <w:rPr/>
        <w:t>Cited by: </w:t>
      </w:r>
      <w:hyperlink w:anchor="S4.SS1.p1">
        <w:r>
          <w:rPr/>
          <w:t>4.1</w:t>
        </w:r>
      </w:hyperlink>
      <w:r>
        <w:rPr/>
        <w:t>, </w:t>
      </w:r>
      <w:hyperlink w:anchor="S4.p1">
        <w:r>
          <w:rPr/>
          <w:t>4</w:t>
        </w:r>
      </w:hyperlink>
      <w:r>
        <w:rPr/>
        <w:t>.</w:t>
      </w:r>
    </w:p>
    <w:p/>
    <w:p>
      <w:pPr>
        <w:pStyle w:val="Bibliographyitem"/>
      </w:pPr>
      <w:bookmarkStart w:id="idp917520" w:name="bib.bib1"/>
      <w:r>
        <w:rPr/>
        <w:t>7</w:t>
      </w:r>
      <w:bookmarkEnd w:id="idp917520"/>
      <w:r>
        <w:rPr/>
        <w:t xml:space="preserve"> </w:t>
      </w:r>
      <w:r>
        <w:rPr>
          <w:rStyle w:val="bibauthor"/>
        </w:rPr>
        <w:t>Kohlhase</w:t>
      </w:r>
      <w:r>
        <w:rPr>
          <w:rStyle w:val="bibauthor"/>
        </w:rPr>
        <w:t> et al.</w:t>
      </w:r>
      <w:r>
        <w:rPr/>
        <w:t xml:space="preserve"> </w:t>
      </w:r>
      <w:r>
        <w:rPr>
          <w:rStyle w:val="bibfullauthors"/>
        </w:rPr>
        <w:t>Kohlhase, Matican,  and Prodescu</w:t>
      </w:r>
      <w:r>
        <w:rPr>
          <w:rStyle w:val="bibyear"/>
        </w:rPr>
        <w:t>2012</w:t>
      </w:r>
      <w:r>
        <w:rPr/>
        <w:t xml:space="preserve"> </w:t>
      </w:r>
      <w:r>
        <w:rPr>
          <w:rStyle w:val="bibtitle"/>
        </w:rPr>
        <w:t>MathWebSearch 0.5 – Scaling an Open Formula Search Engine</w:t>
      </w:r>
      <w:r>
        <w:rPr/>
        <w:t xml:space="preserve"> </w:t>
      </w:r>
      <w:r>
        <w:rPr/>
        <w:t>7</w:t>
      </w:r>
      <w:r>
        <w:rPr/>
        <w:t xml:space="preserve"> </w:t>
      </w:r>
      <w:r>
        <w:rPr>
          <w:rStyle w:val="bibauthor2"/>
        </w:rPr>
        <w:t>M. Kohlhase, B. A. Matican and C. C. Prodescu</w:t>
      </w:r>
      <w:r>
        <w:rPr>
          <w:rStyle w:val="bibpublicationdate"/>
        </w:rPr>
        <w:t>2012</w:t>
      </w:r>
      <w:r>
        <w:rPr>
          <w:rStyle w:val="bibtitle2"/>
        </w:rPr>
        <w:t>MathWebSearch 0.5 – Scaling an Open Formula Search Engine</w:t>
      </w:r>
      <w:r>
        <w:rPr/>
        <w:t>,</w:t>
      </w:r>
      <w:r>
        <w:rPr/>
        <w:t>in </w:t>
      </w:r>
      <w:hyperlink w:anchor="bib.bib15">
        <w:r>
          <w:rPr/>
          <w:t>4</w:t>
        </w:r>
      </w:hyperlink>
      <w:r>
        <w:rPr/>
        <w:t xml:space="preserve"> </w:t>
      </w:r>
      <w:r>
        <w:rPr/>
        <w:t>,</w:t>
      </w:r>
      <w:r>
        <w:rPr/>
        <w:t> pp. </w:t>
      </w:r>
      <w:r>
        <w:rPr>
          <w:rStyle w:val="bibpages"/>
        </w:rPr>
        <w:t>342–357</w:t>
      </w:r>
      <w:r>
        <w:rPr/>
        <w:t>.</w:t>
      </w:r>
      <w:r>
        <w:rPr/>
        <w:t>External Links: </w:t>
      </w:r>
      <w:hyperlink r:id="idp935376">
        <w:r>
          <w:rPr>
            <w:rStyle w:val="biblinks"/>
          </w:rPr>
          <w:t>Link</w:t>
        </w:r>
      </w:hyperlink>
      <external-link>
        <ref xmlns="http://dlmf.nist.gov/LaTeXML" href="http://kwarc.info/kohlhase/papers/aisc12-mws.pdf" class="ltx_bib_external">Link</ref>
        <extra r:id="idp935376"/>
      </external-link>
      <w:r>
        <w:rPr/>
        <w:t>.</w:t>
      </w:r>
      <w:r>
        <w:rPr/>
        <w:t>Cited by: </w:t>
      </w:r>
      <w:hyperlink w:anchor="S3.p1">
        <w:r>
          <w:rPr/>
          <w:t>3</w:t>
        </w:r>
      </w:hyperlink>
      <w:r>
        <w:rPr/>
        <w:t>.</w:t>
      </w:r>
    </w:p>
    <w:p/>
    <w:p>
      <w:pPr>
        <w:pStyle w:val="Bibliographyitem"/>
      </w:pPr>
      <w:bookmarkStart w:id="idp939328" w:name="bib.bib3"/>
      <w:r>
        <w:rPr/>
        <w:t>8</w:t>
      </w:r>
      <w:bookmarkEnd w:id="idp939328"/>
      <w:r>
        <w:rPr/>
        <w:t xml:space="preserve"> </w:t>
      </w:r>
      <w:r>
        <w:rPr>
          <w:rStyle w:val="bibauthor"/>
        </w:rPr>
        <w:t>Kohlhase and Prodescu</w:t>
      </w:r>
      <w:r>
        <w:rPr/>
        <w:t xml:space="preserve"> </w:t>
      </w:r>
      <w:r>
        <w:rPr>
          <w:rStyle w:val="bibtype"/>
        </w:rPr>
        <w:t>Web Manual</w:t>
      </w:r>
      <w:r>
        <w:rPr/>
        <w:t xml:space="preserve"> </w:t>
      </w:r>
      <w:r>
        <w:rPr>
          <w:rStyle w:val="bibtitle"/>
        </w:rPr>
        <w:t>MathWebSearch manual</w:t>
      </w:r>
      <w:r>
        <w:rPr/>
        <w:t xml:space="preserve"> </w:t>
      </w:r>
      <w:r>
        <w:rPr/>
        <w:t>8</w:t>
      </w:r>
      <w:r>
        <w:rPr/>
        <w:t xml:space="preserve"> </w:t>
      </w:r>
      <w:r>
        <w:rPr>
          <w:rStyle w:val="bibauthor2"/>
        </w:rPr>
        <w:t>M. Kohlhase and C. Prodescu</w:t>
      </w:r>
      <w:r>
        <w:rPr>
          <w:rStyle w:val="bibtitle2"/>
        </w:rPr>
        <w:t>MathWebSearch manual</w:t>
      </w:r>
      <w:r>
        <w:rPr/>
        <w:t>,</w:t>
      </w:r>
      <w:r>
        <w:rPr>
          <w:rStyle w:val="bibtype2"/>
        </w:rPr>
        <w:t>Web Manual</w:t>
      </w:r>
      <w:r>
        <w:rPr>
          <w:rStyle w:val="biborganization"/>
        </w:rPr>
        <w:t>Jacobs University</w:t>
      </w:r>
      <w:r>
        <w:rPr/>
        <w:t>.</w:t>
      </w:r>
      <w:r>
        <w:rPr/>
        <w:t>External Links: </w:t>
      </w:r>
      <w:hyperlink r:id="idp953104">
        <w:r>
          <w:rPr>
            <w:rStyle w:val="biblinks"/>
          </w:rPr>
          <w:t>Link</w:t>
        </w:r>
      </w:hyperlink>
      <external-link>
        <ref xmlns="http://dlmf.nist.gov/LaTeXML" href="https://svn.mathweb.org/repos/mws/doc/manual/manual.pdf" class="ltx_bib_external">Link</ref>
        <extra r:id="idp953104"/>
      </external-link>
      <w:r>
        <w:rPr/>
        <w:t>.</w:t>
      </w:r>
      <w:r>
        <w:rPr/>
        <w:t>Cited by: </w:t>
      </w:r>
      <w:hyperlink w:anchor="S3.p1">
        <w:r>
          <w:rPr/>
          <w:t>3</w:t>
        </w:r>
      </w:hyperlink>
      <w:r>
        <w:rPr/>
        <w:t>.</w:t>
      </w:r>
    </w:p>
    <w:p/>
    <w:p>
      <w:pPr>
        <w:pStyle w:val="Bibliographyitem"/>
      </w:pPr>
      <w:bookmarkStart w:id="idp957056" w:name="bib.bib14"/>
      <w:r>
        <w:rPr/>
        <w:t>9</w:t>
      </w:r>
      <w:bookmarkEnd w:id="idp957056"/>
      <w:r>
        <w:rPr/>
        <w:t xml:space="preserve"> </w:t>
      </w:r>
      <w:r>
        <w:rPr>
          <w:rStyle w:val="bibauthor"/>
        </w:rPr>
        <w:t>Kohlhase</w:t>
      </w:r>
      <w:r>
        <w:rPr/>
        <w:t xml:space="preserve"> </w:t>
      </w:r>
      <w:r>
        <w:rPr>
          <w:rStyle w:val="bibyear"/>
        </w:rPr>
        <w:t>2006</w:t>
      </w:r>
      <w:r>
        <w:rPr/>
        <w:t xml:space="preserve"> </w:t>
      </w:r>
      <w:r>
        <w:rPr>
          <w:rFonts w:ascii="smallcaps" w:cs="smallcaps"/>
          <w:rStyle w:val="bibtitle"/>
        </w:rPr>
        <w:t>OMDoc</w:t>
      </w:r>
      <w:r>
        <w:rPr>
          <w:rStyle w:val="bibtitle"/>
        </w:rPr>
        <w:t> – an open markup format for mathematical documents [version 1.2]</w:t>
      </w:r>
      <w:r>
        <w:rPr/>
        <w:t xml:space="preserve"> </w:t>
      </w:r>
      <w:r>
        <w:rPr/>
        <w:t>9</w:t>
      </w:r>
      <w:r>
        <w:rPr/>
        <w:t xml:space="preserve"> </w:t>
      </w:r>
      <w:r>
        <w:rPr>
          <w:rStyle w:val="bibauthor2"/>
        </w:rPr>
        <w:t>M. Kohlhase</w:t>
      </w:r>
      <w:r>
        <w:rPr>
          <w:rStyle w:val="bibpublicationdate"/>
        </w:rPr>
        <w:t>2006-08</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idp972736">
        <w:r>
          <w:rPr>
            <w:rStyle w:val="biblinks"/>
          </w:rPr>
          <w:t>Link</w:t>
        </w:r>
      </w:hyperlink>
      <external-link>
        <ref xmlns="http://dlmf.nist.gov/LaTeXML" href="http://omdoc.org/pubs/omdoc1.2.pdf" class="ltx_bib_external">Link</ref>
        <extra r:id="idp972736"/>
      </external-link>
      <w:r>
        <w:rPr/>
        <w:t>.</w:t>
      </w:r>
      <w:r>
        <w:rPr/>
        <w:t>Cited by: </w:t>
      </w:r>
      <w:hyperlink w:anchor="S2.p3">
        <w:r>
          <w:rPr/>
          <w:t>2</w:t>
        </w:r>
      </w:hyperlink>
      <w:r>
        <w:rPr/>
        <w:t>.</w:t>
      </w:r>
    </w:p>
    <w:p/>
    <w:p>
      <w:pPr>
        <w:pStyle w:val="Bibliographyitem"/>
      </w:pPr>
      <w:bookmarkStart w:id="idp976672" w:name="bib.bib19"/>
      <w:r>
        <w:rPr/>
        <w:t>10</w:t>
      </w:r>
      <w:bookmarkEnd w:id="idp976672"/>
      <w:r>
        <w:rPr/>
        <w:t xml:space="preserve"> </w:t>
      </w:r>
      <w:r>
        <w:rPr>
          <w:rStyle w:val="bibauthor"/>
        </w:rPr>
        <w:t>Liguda</w:t>
      </w:r>
      <w:r>
        <w:rPr/>
        <w:t xml:space="preserve"> </w:t>
      </w:r>
      <w:r>
        <w:rPr>
          <w:rStyle w:val="bibyear"/>
        </w:rPr>
        <w:t>2012</w:t>
      </w:r>
      <w:r>
        <w:rPr/>
        <w:t xml:space="preserve"> </w:t>
      </w:r>
      <w:r>
        <w:rPr>
          <w:rStyle w:val="bibtitle"/>
        </w:rPr>
        <w:t>Modeling the structure of spreadsheets</w:t>
      </w:r>
      <w:r>
        <w:rPr/>
        <w:t xml:space="preserve"> </w:t>
      </w:r>
      <w:r>
        <w:rPr/>
        <w:t>10</w:t>
      </w:r>
      <w:r>
        <w:rPr/>
        <w:t xml:space="preserve"> </w:t>
      </w:r>
      <w:r>
        <w:rPr>
          <w:rStyle w:val="bibauthor2"/>
        </w:rPr>
        <w:t>C. Liguda</w:t>
      </w:r>
      <w:r>
        <w:rPr>
          <w:rStyle w:val="bibpublicationdate"/>
        </w:rPr>
        <w:t>2012</w:t>
      </w:r>
      <w:r>
        <w:rPr>
          <w:rStyle w:val="bibtitle2"/>
        </w:rPr>
        <w:t>Modeling the structure of spreadsheets</w:t>
      </w:r>
      <w:r>
        <w:rPr/>
        <w:t>,</w:t>
      </w:r>
      <w:r>
        <w:rPr/>
        <w:t>(M. Meder Ed.)</w:t>
      </w:r>
      <w:r>
        <w:rPr/>
        <w:t>, </w:t>
      </w:r>
      <w:r>
        <w:rPr/>
        <w:t> pp. </w:t>
      </w:r>
      <w:r>
        <w:rPr>
          <w:rStyle w:val="bibpages"/>
        </w:rPr>
        <w:t>13 – 17</w:t>
      </w:r>
      <w:r>
        <w:rPr/>
        <w:t>.</w:t>
      </w:r>
      <w:r>
        <w:rPr/>
        <w:t>External Links: </w:t>
      </w:r>
      <w:hyperlink r:id="idp991136">
        <w:r>
          <w:rPr>
            <w:rStyle w:val="biblinks"/>
          </w:rPr>
          <w:t>Link</w:t>
        </w:r>
      </w:hyperlink>
      <external-link>
        <ref xmlns="http://dlmf.nist.gov/LaTeXML" href="http://dfki.de/~bach/FGWM-2012-Proc.pdf" class="ltx_bib_external">Link</ref>
        <extra r:id="idp991136"/>
      </external-link>
      <w:r>
        <w:rPr/>
        <w:t>.</w:t>
      </w:r>
      <w:r>
        <w:rPr/>
        <w:t>Cited by: </w:t>
      </w:r>
      <w:hyperlink w:anchor="S4.SS1.p1">
        <w:r>
          <w:rPr/>
          <w:t>4.1</w:t>
        </w:r>
      </w:hyperlink>
      <w:r>
        <w:rPr/>
        <w:t>.</w:t>
      </w:r>
    </w:p>
    <w:p/>
    <w:p>
      <w:pPr>
        <w:pStyle w:val="Bibliographyitem"/>
      </w:pPr>
      <w:bookmarkStart w:id="idp995088" w:name="bib.bib11"/>
      <w:r>
        <w:rPr/>
        <w:t>11</w:t>
      </w:r>
      <w:bookmarkEnd w:id="idp995088"/>
      <w:r>
        <w:rPr/>
        <w:t xml:space="preserve"> </w:t>
      </w:r>
      <w:r>
        <w:rPr>
          <w:rStyle w:val="bibauthor"/>
        </w:rPr>
        <w:t>Liguda</w:t>
      </w:r>
      <w:r>
        <w:rPr/>
        <w:t xml:space="preserve"> </w:t>
      </w:r>
      <w:r>
        <w:rPr>
          <w:rStyle w:val="bibyear"/>
        </w:rPr>
        <w:t>2013</w:t>
      </w:r>
      <w:r>
        <w:rPr/>
        <w:t xml:space="preserve"> </w:t>
      </w:r>
      <w:r>
        <w:rPr>
          <w:rStyle w:val="bibtitle"/>
        </w:rPr>
        <w:t>From spreadhsheet data to structured knowledge</w:t>
      </w:r>
      <w:r>
        <w:rPr/>
        <w:t xml:space="preserve"> </w:t>
      </w:r>
      <w:r>
        <w:rPr/>
        <w:t>11</w:t>
      </w:r>
      <w:r>
        <w:rPr/>
        <w:t xml:space="preserve"> </w:t>
      </w:r>
      <w:r>
        <w:rPr>
          <w:rStyle w:val="bibauthor2"/>
        </w:rPr>
        <w:t>C. Liguda</w:t>
      </w:r>
      <w:r>
        <w:rPr>
          <w:rStyle w:val="bibpublicationdate"/>
        </w:rPr>
        <w:t>2013-02</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 </w:t>
      </w:r>
      <w:hyperlink w:anchor="S4.SS3.p1">
        <w:r>
          <w:rPr/>
          <w:t>4.3</w:t>
        </w:r>
      </w:hyperlink>
      <w:r>
        <w:rPr/>
        <w:t>.</w:t>
      </w:r>
    </w:p>
    <w:p/>
    <w:p>
      <w:pPr>
        <w:pStyle w:val="Bibliographyitem"/>
      </w:pPr>
      <w:bookmarkStart w:id="idp1012752" w:name="bib.bib5"/>
      <w:r>
        <w:rPr/>
        <w:t>12</w:t>
      </w:r>
      <w:bookmarkEnd w:id="idp1012752"/>
      <w:r>
        <w:rPr/>
        <w:t xml:space="preserve"> </w:t>
      </w:r>
      <w:r>
        <w:rPr>
          <w:rStyle w:val="bibauthor"/>
        </w:rPr>
        <w:t>Ausbrooks</w:t>
      </w:r>
      <w:r>
        <w:rPr>
          <w:rStyle w:val="bibauthor"/>
        </w:rPr>
        <w:t> et al.</w:t>
      </w:r>
      <w:r>
        <w:rPr/>
        <w:t xml:space="preserve"> </w:t>
      </w:r>
      <w:r>
        <w:rPr>
          <w:rStyle w:val="bibfullauthors"/>
        </w:rPr>
        <w:t>Ausbrooks, Buswell, Carlisle, Chavchanidze, Dalmas, Devitt, Diaz, Dooley, Hunter, Ion, Kohlhase, Lazrek, Libbrecht, Miller, Miner, Sargent, Smith, Soiffer, Sutor,  and Watt</w:t>
      </w:r>
      <w:r>
        <w:rPr/>
        <w:t>MathML3</w:t>
      </w:r>
      <w:r>
        <w:rPr/>
        <w:t xml:space="preserve"> </w:t>
      </w:r>
      <w:r>
        <w:rPr>
          <w:rStyle w:val="bibyear"/>
        </w:rPr>
        <w:t>2010</w:t>
      </w:r>
      <w:r>
        <w:rPr/>
        <w:t xml:space="preserve"> </w:t>
      </w:r>
      <w:r>
        <w:rPr>
          <w:rStyle w:val="bibtype"/>
        </w:rPr>
        <w:t>W3C Recommendation</w:t>
      </w:r>
      <w:r>
        <w:rPr/>
        <w:t xml:space="preserve"> </w:t>
      </w:r>
      <w:r>
        <w:rPr>
          <w:rStyle w:val="bibtitle"/>
        </w:rPr>
        <w:t>Mathematical Markup Language (MathML) Version 3.0</w:t>
      </w:r>
      <w:r>
        <w:rPr/>
        <w:t xml:space="preserve"> </w:t>
      </w:r>
      <w:r>
        <w:rPr/>
        <w:t>12</w:t>
      </w:r>
      <w:r>
        <w:rPr/>
        <w:t xml:space="preserve"> </w:t>
      </w:r>
      <w:r>
        <w:rPr>
          <w:rStyle w:val="bibauthor2"/>
        </w:rPr>
        <w:t>R. Ausbrooks, S. Buswell, D. Carlisle, G. Chavchanidze, S. Dalmas, S. Devitt, A. Diaz, S. Dooley, R. Hunter, P. Ion, M. Kohlhase, A. Lazrek, P. Libbrecht, B. Miller, R. Miner, M. Sargent, B. Smith, N. Soiffer, R. Sutor and S. Watt</w:t>
      </w:r>
      <w:r>
        <w:rPr/>
        <w:t>D. Carlisle, P. Ion and R. Miner (Eds.)</w:t>
      </w:r>
      <w:r>
        <w:rPr>
          <w:rStyle w:val="bibpublicationdate"/>
        </w:rPr>
        <w:t>2010</w:t>
      </w:r>
      <w:r>
        <w:rPr>
          <w:rStyle w:val="bibtitle2"/>
        </w:rPr>
        <w:t>Mathematical Markup Language (MathML) Version 3.0</w:t>
      </w:r>
      <w:r>
        <w:rPr/>
        <w:t>,</w:t>
      </w:r>
      <w:r>
        <w:rPr>
          <w:rStyle w:val="bibtype2"/>
        </w:rPr>
        <w:t>W3C Recommendation</w:t>
      </w:r>
      <w:r>
        <w:rPr>
          <w:rStyle w:val="biborganization"/>
        </w:rPr>
        <w:t>World Wide Web Consortium (W3C)</w:t>
      </w:r>
      <w:r>
        <w:rPr/>
        <w:t>.</w:t>
      </w:r>
      <w:r>
        <w:rPr/>
        <w:t>External Links: </w:t>
      </w:r>
      <w:hyperlink r:id="idp1032480">
        <w:r>
          <w:rPr>
            <w:rStyle w:val="biblinks"/>
          </w:rPr>
          <w:t>Link</w:t>
        </w:r>
      </w:hyperlink>
      <external-link>
        <ref xmlns="http://dlmf.nist.gov/LaTeXML" href="http://www.w3.org/TR/MathML3" class="ltx_bib_external">Link</ref>
        <extra r:id="idp1032480"/>
      </external-link>
      <w:r>
        <w:rPr/>
        <w:t>.</w:t>
      </w:r>
      <w:r>
        <w:rPr/>
        <w:t>Cited by: </w:t>
      </w:r>
      <w:hyperlink w:anchor="bib.bib4">
        <w:r>
          <w:rPr/>
          <w:t>1</w:t>
        </w:r>
      </w:hyperlink>
      <w:r>
        <w:rPr/>
        <w:t>.</w:t>
      </w:r>
    </w:p>
    <w:p/>
    <w:p>
      <w:pPr>
        <w:pStyle w:val="Bibliographyitem"/>
      </w:pPr>
      <w:bookmarkStart w:id="idp1035632" w:name="bib.bib9"/>
      <w:r>
        <w:rPr/>
        <w:t>13</w:t>
      </w:r>
      <w:bookmarkEnd w:id="idp1035632"/>
      <w:r>
        <w:rPr/>
        <w:t xml:space="preserve"> </w:t>
      </w:r>
      <w:r>
        <w:rPr>
          <w:rStyle w:val="bibauthor"/>
        </w:rPr>
        <w:t>Nixon and O’Hara</w:t>
      </w:r>
      <w:r>
        <w:rPr/>
        <w:t xml:space="preserve"> </w:t>
      </w:r>
      <w:r>
        <w:rPr>
          <w:rStyle w:val="bibyear"/>
        </w:rPr>
        <w:t>2001</w:t>
      </w:r>
      <w:r>
        <w:rPr/>
        <w:t xml:space="preserve"> </w:t>
      </w:r>
      <w:r>
        <w:rPr>
          <w:rStyle w:val="bibtitle"/>
        </w:rPr>
        <w:t>Spreadsheet auditing software</w:t>
      </w:r>
      <w:r>
        <w:rPr/>
        <w:t xml:space="preserve"> </w:t>
      </w:r>
      <w:r>
        <w:rPr/>
        <w:t>13</w:t>
      </w:r>
      <w:r>
        <w:rPr/>
        <w:t xml:space="preserve"> </w:t>
      </w:r>
      <w:r>
        <w:rPr>
          <w:rStyle w:val="bibauthor2"/>
        </w:rPr>
        <w:t>D. Nixon and M. O’Hara</w:t>
      </w:r>
      <w:r>
        <w:rPr>
          <w:rStyle w:val="bibpublicationdate"/>
        </w:rPr>
        <w:t>2001</w:t>
      </w:r>
      <w:r>
        <w:rPr>
          <w:rStyle w:val="bibtitle2"/>
        </w:rPr>
        <w:t>Spreadsheet auditing software</w:t>
      </w:r>
      <w:r>
        <w:rPr/>
        <w:t>,</w:t>
      </w:r>
      <w:r>
        <w:rPr/>
        <w:t>in </w:t>
      </w:r>
      <w:hyperlink w:anchor="bib.bib17">
        <w:r>
          <w:rPr/>
          <w:t>20</w:t>
        </w:r>
      </w:hyperlink>
      <w:r>
        <w:rPr/>
        <w:t xml:space="preserve"> </w:t>
      </w:r>
      <w:r>
        <w:rPr/>
        <w:t>,</w:t>
      </w:r>
      <w:r>
        <w:rPr/>
        <w:t>Cited by: </w:t>
      </w:r>
      <w:hyperlink w:anchor="I1">
        <w:r>
          <w:rPr/>
          <w:t>1</w:t>
        </w:r>
      </w:hyperlink>
      <w:r>
        <w:rPr/>
        <w:t>.</w:t>
      </w:r>
    </w:p>
    <w:p/>
    <w:p>
      <w:pPr>
        <w:pStyle w:val="Bibliographyitem"/>
      </w:pPr>
      <w:bookmarkStart w:id="idp1051824" w:name="bib.bib12"/>
      <w:r>
        <w:rPr/>
        <w:t>14</w:t>
      </w:r>
      <w:bookmarkEnd w:id="idp1051824"/>
      <w:r>
        <w:rPr/>
        <w:t xml:space="preserve"> </w:t>
      </w:r>
      <w:r>
        <w:rPr>
          <w:rStyle w:val="bibauthor"/>
        </w:rPr>
        <w:t>Panko</w:t>
      </w:r>
      <w:r>
        <w:rPr/>
        <w:t xml:space="preserve"> </w:t>
      </w:r>
      <w:r>
        <w:rPr>
          <w:rStyle w:val="bibyear"/>
        </w:rPr>
        <w:t>2000</w:t>
      </w:r>
      <w:r>
        <w:rPr/>
        <w:t xml:space="preserve"> </w:t>
      </w:r>
      <w:r>
        <w:rPr>
          <w:rStyle w:val="bibtitle"/>
        </w:rPr>
        <w:t>Spreadsheet errors: what we know. what we think we can do.</w:t>
      </w:r>
      <w:r>
        <w:rPr/>
        <w:t xml:space="preserve"> </w:t>
      </w:r>
      <w:r>
        <w:rPr/>
        <w:t>14</w:t>
      </w:r>
      <w:r>
        <w:rPr/>
        <w:t xml:space="preserve"> </w:t>
      </w:r>
      <w:r>
        <w:rPr>
          <w:rStyle w:val="bibauthor2"/>
        </w:rPr>
        <w:t>R. R. Panko</w:t>
      </w:r>
      <w:r>
        <w:rPr>
          <w:rStyle w:val="bibpublicationdate"/>
        </w:rPr>
        <w:t>2000</w:t>
      </w:r>
      <w:r>
        <w:rPr>
          <w:rStyle w:val="bibtitle2"/>
        </w:rPr>
        <w:t>Spreadsheet errors: what we know. what we think we can do.</w:t>
      </w:r>
      <w:r>
        <w:rPr/>
        <w:t>,</w:t>
      </w:r>
      <w:r>
        <w:rPr/>
        <w:t>in </w:t>
      </w:r>
      <w:hyperlink w:anchor="bib.bib18">
        <w:r>
          <w:rPr/>
          <w:t>19</w:t>
        </w:r>
      </w:hyperlink>
      <w:r>
        <w:rPr/>
        <w:t xml:space="preserve"> </w:t>
      </w:r>
      <w:r>
        <w:rPr/>
        <w:t>,</w:t>
      </w:r>
      <w:r>
        <w:rPr/>
        <w:t>Cited by: </w:t>
      </w:r>
      <w:hyperlink w:anchor="S1.p1">
        <w:r>
          <w:rPr/>
          <w:t>1</w:t>
        </w:r>
      </w:hyperlink>
      <w:r>
        <w:rPr/>
        <w:t>.</w:t>
      </w:r>
    </w:p>
    <w:p/>
    <w:p>
      <w:pPr>
        <w:pStyle w:val="Bibliographyitem"/>
      </w:pPr>
      <w:bookmarkStart w:id="idp1068096" w:name="bib.bib20"/>
      <w:r>
        <w:rPr/>
        <w:t>15</w:t>
      </w:r>
      <w:bookmarkEnd w:id="idp1068096"/>
      <w:r>
        <w:rPr/>
        <w:t xml:space="preserve"> </w:t>
      </w:r>
      <w:r>
        <w:rPr>
          <w:rStyle w:val="bibauthor"/>
        </w:rPr>
        <w:t>Parr</w:t>
      </w:r>
      <w:r>
        <w:rPr/>
        <w:t xml:space="preserve"> </w:t>
      </w:r>
      <w:r>
        <w:rPr>
          <w:rStyle w:val="bibyear"/>
        </w:rPr>
        <w:t>2013</w:t>
      </w:r>
      <w:r>
        <w:rPr/>
        <w:t xml:space="preserve"> </w:t>
      </w:r>
      <w:r>
        <w:rPr>
          <w:rStyle w:val="bibtitle"/>
        </w:rPr>
        <w:t>The definitive antlr 4 reference</w:t>
      </w:r>
      <w:r>
        <w:rPr/>
        <w:t xml:space="preserve"> </w:t>
      </w:r>
      <w:r>
        <w:rPr/>
        <w:t>15</w:t>
      </w:r>
      <w:r>
        <w:rPr/>
        <w:t xml:space="preserve"> </w:t>
      </w:r>
      <w:r>
        <w:rPr>
          <w:rStyle w:val="bibauthor2"/>
        </w:rPr>
        <w:t>T. Parr</w:t>
      </w:r>
      <w:r>
        <w:rPr>
          <w:rStyle w:val="bibpublicationdate"/>
        </w:rPr>
        <w:t>2013</w:t>
      </w:r>
      <w:r>
        <w:rPr>
          <w:rStyle w:val="bibtitle2"/>
        </w:rPr>
        <w:t>The definitive antlr 4 reference</w:t>
      </w:r>
      <w:r>
        <w:rPr/>
        <w:t>,</w:t>
      </w:r>
      <w:r>
        <w:rPr>
          <w:rStyle w:val="bibpublisher"/>
        </w:rPr>
        <w:t>Pragmatic Programmers</w:t>
      </w:r>
      <w:r>
        <w:rPr/>
        <w:t>.</w:t>
      </w:r>
      <w:r>
        <w:rPr/>
        <w:t>Cited by: </w:t>
      </w:r>
      <w:hyperlink w:anchor="S4.SS2.p1">
        <w:r>
          <w:rPr/>
          <w:t>4.2</w:t>
        </w:r>
      </w:hyperlink>
      <w:r>
        <w:rPr/>
        <w:t>.</w:t>
      </w:r>
    </w:p>
    <w:p/>
    <w:p>
      <w:pPr>
        <w:pStyle w:val="Bibliographyitem"/>
      </w:pPr>
      <w:bookmarkStart w:id="idp1083520" w:name="bib.bib6"/>
      <w:r>
        <w:rPr/>
        <w:t>16</w:t>
      </w:r>
      <w:bookmarkEnd w:id="idp1083520"/>
      <w:r>
        <w:rPr/>
        <w:t xml:space="preserve"> </w:t>
      </w:r>
      <w:r>
        <w:rPr>
          <w:rStyle w:val="bibauthor"/>
        </w:rPr>
        <w:t>Rabe and Kohlhase</w:t>
      </w:r>
      <w:r>
        <w:rPr/>
        <w:t xml:space="preserve"> </w:t>
      </w:r>
      <w:r>
        <w:rPr>
          <w:rStyle w:val="bibyear"/>
        </w:rPr>
        <w:t>2013</w:t>
      </w:r>
      <w:r>
        <w:rPr/>
        <w:t xml:space="preserve"> </w:t>
      </w:r>
      <w:r>
        <w:rPr>
          <w:rStyle w:val="bibtitle"/>
        </w:rPr>
        <w:t>A scalable module system</w:t>
      </w:r>
      <w:r>
        <w:rPr/>
        <w:t xml:space="preserve"> </w:t>
      </w:r>
      <w:r>
        <w:rPr/>
        <w:t>16</w:t>
      </w:r>
      <w:r>
        <w:rPr/>
        <w:t xml:space="preserve"> </w:t>
      </w:r>
      <w:r>
        <w:rPr>
          <w:rStyle w:val="bibauthor2"/>
        </w:rPr>
        <w:t>F. Rabe and M. Kohlhase</w:t>
      </w:r>
      <w:r>
        <w:rPr>
          <w:rStyle w:val="bibpublicationdate"/>
        </w:rPr>
        <w:t>2013</w:t>
      </w:r>
      <w:r>
        <w:rPr>
          <w:rStyle w:val="bibtitle2"/>
        </w:rPr>
        <w:t>A scalable module system</w:t>
      </w:r>
      <w:r>
        <w:rPr/>
        <w:t>,</w:t>
      </w:r>
      <w:r>
        <w:rPr/>
        <w:t>Note: </w:t>
      </w:r>
      <w:r>
        <w:rPr>
          <w:rStyle w:val="bibnote"/>
        </w:rPr>
        <w:t>Manuscript, submitted to Information &amp; Computation</w:t>
      </w:r>
      <w:r>
        <w:rPr/>
        <w:t>External Links: </w:t>
      </w:r>
      <w:hyperlink r:id="idp1097168">
        <w:r>
          <w:rPr>
            <w:rStyle w:val="biblinks"/>
          </w:rPr>
          <w:t>Link</w:t>
        </w:r>
      </w:hyperlink>
      <external-link>
        <ref xmlns="http://dlmf.nist.gov/LaTeXML" href="http://kwarc.info/frabe/Research/mmt.pdf" class="ltx_bib_external">Link</ref>
        <extra r:id="idp1097168"/>
      </external-link>
      <w:r>
        <w:rPr/>
        <w:t>.</w:t>
      </w:r>
      <w:r>
        <w:rPr/>
        <w:t>Cited by: </w:t>
      </w:r>
      <w:hyperlink w:anchor="S2.p3">
        <w:r>
          <w:rPr/>
          <w:t>2</w:t>
        </w:r>
      </w:hyperlink>
      <w:r>
        <w:rPr/>
        <w:t>.</w:t>
      </w:r>
    </w:p>
    <w:p/>
    <w:p>
      <w:pPr>
        <w:pStyle w:val="Bibliographyitem"/>
      </w:pPr>
      <w:bookmarkStart w:id="idp1101120" w:name="bib.bib8"/>
      <w:r>
        <w:rPr/>
        <w:t>17</w:t>
      </w:r>
      <w:bookmarkEnd w:id="idp1101120"/>
      <w:r>
        <w:rPr/>
        <w:t xml:space="preserve"> </w:t>
      </w:r>
      <w:r>
        <w:rPr>
          <w:rStyle w:val="bibauthor"/>
        </w:rPr>
        <w:t>Rothermel</w:t>
      </w:r>
      <w:r>
        <w:rPr>
          <w:rStyle w:val="bibauthor"/>
        </w:rPr>
        <w:t> et al.</w:t>
      </w:r>
      <w:r>
        <w:rPr/>
        <w:t xml:space="preserve"> </w:t>
      </w:r>
      <w:r>
        <w:rPr>
          <w:rStyle w:val="bibfullauthors"/>
        </w:rPr>
        <w:t>Rothermel, Burnett, Li, DuPuis,  and Sheretov</w:t>
      </w:r>
      <w:r>
        <w:rPr>
          <w:rStyle w:val="bibyear"/>
        </w:rPr>
        <w:t>2001</w:t>
      </w:r>
      <w:r>
        <w:rPr/>
        <w:t xml:space="preserve"> </w:t>
      </w:r>
      <w:r>
        <w:rPr>
          <w:rStyle w:val="bibtitle"/>
        </w:rPr>
        <w:t>A methodology for testing spreadsheets</w:t>
      </w:r>
      <w:r>
        <w:rPr/>
        <w:t xml:space="preserve"> </w:t>
      </w:r>
      <w:r>
        <w:rPr/>
        <w:t>17</w:t>
      </w:r>
      <w:r>
        <w:rPr/>
        <w:t xml:space="preserve"> </w:t>
      </w:r>
      <w:r>
        <w:rPr>
          <w:rStyle w:val="bibauthor2"/>
        </w:rPr>
        <w:t>G. Rothermel, M. Burnett, L. Li, C. DuPuis and A. Sheretov</w:t>
      </w:r>
      <w:r>
        <w:rPr>
          <w:rStyle w:val="bibpublicationdate"/>
        </w:rPr>
        <w:t>2001</w:t>
      </w:r>
      <w:r>
        <w:rPr>
          <w:rStyle w:val="bibtitle2"/>
        </w:rPr>
        <w:t>A methodology for testing spreadsheets</w:t>
      </w:r>
      <w:r>
        <w:rPr/>
        <w:t>,</w:t>
      </w:r>
      <w:r>
        <w:rPr>
          <w:rStyle w:val="bibjournal"/>
        </w:rPr>
        <w:t>ACM Transactions on Software Engineering and Methodology</w:t>
      </w:r>
      <w:r>
        <w:rPr>
          <w:rStyle w:val="bibvolume"/>
        </w:rPr>
        <w:t>10</w:t>
      </w:r>
      <w:r>
        <w:rPr/>
        <w:t>, </w:t>
      </w:r>
      <w:r>
        <w:rPr/>
        <w:t> pp. </w:t>
      </w:r>
      <w:r>
        <w:rPr>
          <w:rStyle w:val="bibpages"/>
        </w:rPr>
        <w:t>110–147</w:t>
      </w:r>
      <w:r>
        <w:rPr/>
        <w:t>.</w:t>
      </w:r>
      <w:r>
        <w:rPr/>
        <w:t>Cited by: </w:t>
      </w:r>
      <w:hyperlink w:anchor="I1">
        <w:r>
          <w:rPr/>
          <w:t>1</w:t>
        </w:r>
      </w:hyperlink>
      <w:r>
        <w:rPr/>
        <w:t>.</w:t>
      </w:r>
    </w:p>
    <w:p/>
    <w:p>
      <w:pPr>
        <w:pStyle w:val="Bibliographyitem"/>
      </w:pPr>
      <w:bookmarkStart w:id="idp1120016" w:name="bib.bib13"/>
      <w:r>
        <w:rPr/>
        <w:t>18</w:t>
      </w:r>
      <w:bookmarkEnd w:id="idp1120016"/>
      <w:r>
        <w:rPr/>
        <w:t xml:space="preserve"> </w:t>
      </w:r>
      <w:r>
        <w:rPr>
          <w:rStyle w:val="bibauthor"/>
        </w:rPr>
        <w:t>Sharmin</w:t>
      </w:r>
      <w:r>
        <w:rPr>
          <w:rStyle w:val="bibauthor"/>
        </w:rPr>
        <w:t> et al.</w:t>
      </w:r>
      <w:r>
        <w:rPr/>
        <w:t xml:space="preserve"> </w:t>
      </w:r>
      <w:r>
        <w:rPr>
          <w:rStyle w:val="bibfullauthors"/>
        </w:rPr>
        <w:t>Sharmin, Bergman, Lu,  and Konuru</w:t>
      </w:r>
      <w:r>
        <w:rPr>
          <w:rStyle w:val="bibyear"/>
        </w:rPr>
        <w:t>2012</w:t>
      </w:r>
      <w:r>
        <w:rPr/>
        <w:t xml:space="preserve"> </w:t>
      </w:r>
      <w:r>
        <w:rPr>
          <w:rStyle w:val="bibtitle"/>
        </w:rPr>
        <w:t>On slide-based contextual cues for presentation reuse</w:t>
      </w:r>
      <w:r>
        <w:rPr/>
        <w:t xml:space="preserve"> </w:t>
      </w:r>
      <w:r>
        <w:rPr/>
        <w:t>18</w:t>
      </w:r>
      <w:r>
        <w:rPr/>
        <w:t xml:space="preserve"> </w:t>
      </w:r>
      <w:r>
        <w:rPr>
          <w:rStyle w:val="bibauthor2"/>
        </w:rPr>
        <w:t>M. Sharmin, L. Bergman, J. Lu and R. Konuru</w:t>
      </w:r>
      <w:r>
        <w:rPr>
          <w:rStyle w:val="bibpublicationdate"/>
        </w:rPr>
        <w:t>2012</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
      <w:pPr>
        <w:pStyle w:val="Bibliographyitem"/>
      </w:pPr>
      <w:bookmarkStart w:id="idp1140896" w:name="bib.bib18"/>
      <w:r>
        <w:rPr/>
        <w:t>19</w:t>
      </w:r>
      <w:bookmarkEnd w:id="idp1140896"/>
      <w:r>
        <w:rPr/>
        <w:t xml:space="preserve"> </w:t>
      </w:r>
      <w:r>
        <w:rPr>
          <w:rStyle w:val="bibyear"/>
        </w:rPr>
        <w:t>2000</w:t>
      </w:r>
      <w:r>
        <w:rPr/>
        <w:t xml:space="preserve"> </w:t>
      </w:r>
      <w:r>
        <w:rPr>
          <w:rStyle w:val="bibtitle"/>
        </w:rPr>
        <w:t>Symp. of the european spreadsheet risks interest group (eusprig 2000)</w:t>
      </w:r>
      <w:r>
        <w:rPr/>
        <w:t xml:space="preserve"> </w:t>
      </w:r>
      <w:r>
        <w:rPr/>
        <w:t>19</w:t>
      </w:r>
      <w:r>
        <w:rPr/>
        <w:t xml:space="preserve"> </w:t>
      </w:r>
      <w:r>
        <w:rPr>
          <w:rStyle w:val="bibpublicationdate"/>
        </w:rPr>
        <w:t>2000</w:t>
      </w:r>
      <w:r>
        <w:rPr>
          <w:rStyle w:val="bibtitle2"/>
        </w:rPr>
        <w:t>Symp. of the european spreadsheet risks interest group (eusprig 2000)</w:t>
      </w:r>
      <w:r>
        <w:rPr/>
        <w:t>,</w:t>
      </w:r>
      <w:r>
        <w:rPr/>
        <w:t>Cited by: </w:t>
      </w:r>
      <w:hyperlink w:anchor="bib.bib12">
        <w:r>
          <w:rPr/>
          <w:t>14</w:t>
        </w:r>
      </w:hyperlink>
      <w:r>
        <w:rPr/>
        <w:t>.</w:t>
      </w:r>
    </w:p>
    <w:p/>
    <w:p>
      <w:pPr>
        <w:pStyle w:val="Bibliographyitem"/>
      </w:pPr>
      <w:bookmarkStart w:id="idp1152368" w:name="bib.bib17"/>
      <w:r>
        <w:rPr/>
        <w:t>20</w:t>
      </w:r>
      <w:bookmarkEnd w:id="idp1152368"/>
      <w:r>
        <w:rPr/>
        <w:t xml:space="preserve"> </w:t>
      </w:r>
      <w:r>
        <w:rPr>
          <w:rStyle w:val="bibyear"/>
        </w:rPr>
        <w:t>2001</w:t>
      </w:r>
      <w:r>
        <w:rPr/>
        <w:t xml:space="preserve"> </w:t>
      </w:r>
      <w:r>
        <w:rPr>
          <w:rStyle w:val="bibtitle"/>
        </w:rPr>
        <w:t>Symp. of the european spreadsheet risks interest group (eusprig 2001)</w:t>
      </w:r>
      <w:r>
        <w:rPr/>
        <w:t xml:space="preserve"> </w:t>
      </w:r>
      <w:r>
        <w:rPr/>
        <w:t>20</w:t>
      </w:r>
      <w:r>
        <w:rPr/>
        <w:t xml:space="preserve"> </w:t>
      </w:r>
      <w:r>
        <w:rPr>
          <w:rStyle w:val="bibpublicationdate"/>
        </w:rPr>
        <w:t>2001</w:t>
      </w:r>
      <w:r>
        <w:rPr>
          <w:rStyle w:val="bibtitle2"/>
        </w:rPr>
        <w:t>Symp. of the european spreadsheet risks interest group (eusprig 2001)</w:t>
      </w:r>
      <w:r>
        <w:rPr/>
        <w:t>,</w:t>
      </w:r>
      <w:r>
        <w:rPr/>
        <w:t>Cited by: </w:t>
      </w:r>
      <w:hyperlink w:anchor="bib.bib9">
        <w:r>
          <w:rPr/>
          <w:t>13</w:t>
        </w:r>
      </w:hyperlink>
      <w:r>
        <w:rPr/>
        <w:t>.</w:t>
      </w:r>
    </w:p>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Relationships xmlns:a="http://schemas.openxmlformats.org/drawingml/2006/main" xmlns:o="urn:schemas-microsoft-com:office:office" xmlns:r="http://schemas.openxmlformats.org/officeDocument/2006/relationships"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Relationship Id="rId1" Type="http://schemas.openxmlformats.org/officeDocument/2006/relationships/styles" Target="styles.xml"/>
  <Relationship Id="idp20688" Type="http://schemas.openxmlformats.org/officeDocument/2006/relationships/hyperlink" Target="http://kwarc.info" TargetMode="External"/>
  <Relationship Id="idp23312" Type="http://schemas.openxmlformats.org/officeDocument/2006/relationships/hyperlink" Target="http://www.dfki.de/cps/staff/liguda" TargetMode="External"/>
  <Relationship Id="idm9376" Type="http://schemas.openxmlformats.org/officeDocument/2006/relationships/image" Target="tikz/spshp/spshp"/>
  <Relationship Id="idp290928" Type="http://schemas.openxmlformats.org/officeDocument/2006/relationships/image" Target="tikz/spshp/interop"/>
  <Relationship Id="idp377312" Type="http://schemas.openxmlformats.org/officeDocument/2006/relationships/image" Target="rest-arch"/>
  <Relationship Id="idp421728" Type="http://schemas.openxmlformats.org/officeDocument/2006/relationships/image" Target="Winograd"/>
  <Relationship Id="idp426848" Type="http://schemas.openxmlformats.org/officeDocument/2006/relationships/image" Target="SnippetXHTML"/>
  <Relationship Id="idp471904" Type="http://schemas.openxmlformats.org/officeDocument/2006/relationships/image" Target="ASTLE"/>
  <Relationship Id="idp748544" Type="http://schemas.openxmlformats.org/officeDocument/2006/relationships/image" Target="xlsearch-frontend"/>
  <Relationship Id="idp764592" Type="http://schemas.openxmlformats.org/officeDocument/2006/relationships/hyperlink" Target="http://search.mathweb.org/xl/" TargetMode="External"/>
  <Relationship Id="idp836032" Type="http://schemas.openxmlformats.org/officeDocument/2006/relationships/hyperlink" Target="http://www.journalofaccountancy.com/issues/2003/nov/inexcelcellnamesspellspeedsafety.htm" TargetMode="External"/>
  <Relationship Id="idp912784" Type="http://schemas.openxmlformats.org/officeDocument/2006/relationships/hyperlink" Target="http://kwarc.info/kohlhase/papers/mkm09-sachs.pdf" TargetMode="External"/>
  <Relationship Id="idp936528" Type="http://schemas.openxmlformats.org/officeDocument/2006/relationships/hyperlink" Target="http://kwarc.info/kohlhase/papers/aisc12-mws.pdf" TargetMode="External"/>
  <Relationship Id="idp954256" Type="http://schemas.openxmlformats.org/officeDocument/2006/relationships/hyperlink" Target="https://svn.mathweb.org/repos/mws/doc/manual/manual.pdf" TargetMode="External"/>
  <Relationship Id="idp973840" Type="http://schemas.openxmlformats.org/officeDocument/2006/relationships/hyperlink" Target="http://omdoc.org/pubs/omdoc1.2.pdf" TargetMode="External"/>
  <Relationship Id="idp992128" Type="http://schemas.openxmlformats.org/officeDocument/2006/relationships/hyperlink" Target="http://dfki.de/~bach/FGWM-2012-Proc.pdf" TargetMode="External"/>
  <Relationship Id="idp1033312" Type="http://schemas.openxmlformats.org/officeDocument/2006/relationships/hyperlink" Target="http://www.w3.org/TR/MathML3" TargetMode="External"/>
  <Relationship Id="idp1097856" Type="http://schemas.openxmlformats.org/officeDocument/2006/relationships/hyperlink" Target="http://kwarc.info/frabe/Research/mmt.pdf" TargetMode="Externa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