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Cs/>
          <w:sz w:val="22"/>
          <w:szCs w:val="22"/>
        </w:rPr>
      </w:pPr>
      <w:r>
        <w:rPr>
          <w:rFonts w:cs="Calibri" w:cstheme="minorHAnsi"/>
          <w:b/>
          <w:bCs/>
          <w:sz w:val="22"/>
          <w:szCs w:val="22"/>
        </w:rPr>
      </w:r>
    </w:p>
    <w:p>
      <w:pPr>
        <w:pStyle w:val="Normal"/>
        <w:spacing w:before="0" w:after="0"/>
        <w:contextualSpacing/>
        <w:rPr>
          <w:rFonts w:cs="Calibri" w:cstheme="minorHAnsi"/>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pacing w:before="0" w:after="0"/>
            <w:contextualSpacing/>
            <w:rPr/>
          </w:pPr>
          <w:r>
            <w:br w:type="page"/>
          </w:r>
          <w:bookmarkStart w:id="0" w:name="_Toc1517617528"/>
          <w:bookmarkStart w:id="1" w:name="_Toc1367610133"/>
          <w:r>
            <w:rPr>
              <w:rStyle w:val="Heading2Char"/>
            </w:rPr>
            <w:t>Table of Contents</w:t>
          </w:r>
          <w:bookmarkEnd w:id="0"/>
          <w:bookmarkEnd w:id="1"/>
        </w:p>
        <w:p>
          <w:pPr>
            <w:pStyle w:val="TOC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Style w:val="IndexLink"/>
                <w:vanish w:val="false"/>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TOC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TOC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TOC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TOC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TOC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TOC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TOC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TOC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TOC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TOC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Cs/>
          <w:sz w:val="22"/>
          <w:szCs w:val="22"/>
        </w:rPr>
      </w:pPr>
      <w:r>
        <w:rPr>
          <w:rFonts w:eastAsia="Times New Roman" w:cs="Calibri" w:cstheme="minorHAnsi"/>
          <w:b/>
          <w:bCs/>
          <w:sz w:val="22"/>
          <w:szCs w:val="22"/>
        </w:rPr>
      </w:r>
      <w:r>
        <w:br w:type="page"/>
      </w:r>
    </w:p>
    <w:p>
      <w:pPr>
        <w:pStyle w:val="Heading2"/>
        <w:spacing w:before="0" w:after="0"/>
        <w:contextualSpacing/>
        <w:rPr/>
      </w:pPr>
      <w:bookmarkStart w:id="2" w:name="_Toc1108781792"/>
      <w:bookmarkStart w:id="3" w:name="_Toc1600266130"/>
      <w:bookmarkStart w:id="4" w:name="_Toc102040754"/>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2/19/2025</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Cooper David</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31614994"/>
      <w:bookmarkStart w:id="6" w:name="_Toc1537514150"/>
      <w:bookmarkStart w:id="7" w:name="_Toc47419814"/>
      <w:bookmarkStart w:id="8" w:name="_Toc102040755"/>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500761898"/>
      <w:bookmarkStart w:id="10" w:name="_Toc1695397086"/>
      <w:bookmarkStart w:id="11" w:name="_Toc102040756"/>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770945630"/>
      <w:bookmarkStart w:id="14" w:name="_Toc102040757"/>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Cooper David</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361528762"/>
      <w:bookmarkStart w:id="16" w:name="_Toc1441383079"/>
      <w:bookmarkStart w:id="17" w:name="_Toc102040758"/>
      <w:r>
        <w:rPr/>
        <w:t>Algorithm Cipher</w:t>
      </w:r>
      <w:bookmarkEnd w:id="15"/>
      <w:bookmarkEnd w:id="16"/>
      <w:bookmarkEnd w:id="1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I will be using SHA-256 for the algorithm cipher for this project.</w:t>
      </w:r>
    </w:p>
    <w:p>
      <w:pPr>
        <w:pStyle w:val="Normal"/>
        <w:spacing w:before="0" w:after="0"/>
        <w:contextualSpacing/>
        <w:rPr>
          <w:rFonts w:eastAsia="Times New Roman"/>
          <w:sz w:val="22"/>
          <w:szCs w:val="22"/>
        </w:rPr>
      </w:pPr>
      <w:r>
        <w:rPr>
          <w:rFonts w:eastAsia="Times New Roman"/>
          <w:sz w:val="22"/>
          <w:szCs w:val="22"/>
        </w:rPr>
        <w:br/>
        <w:t>SHA-256 is a cryptographic hash function that generates a 256-bit hash value (32 bytes) from any input. It's commonly used to ensure data integrity and verify authenticity, but it doesn't encrypt or decrypt data. Being a one-way function, it’s nearly impossible to reverse the hash to retrieve the original input.</w:t>
        <w:br/>
        <w:br/>
        <w:t>- Hash Functions: SHA-256 produces a 256-bit hash, offering robust security and resistance to collisions.</w:t>
        <w:br/>
        <w:t>- Bit Levels: The 256-bit output makes it tough against brute-force attacks and helps maintain data integrity.</w:t>
        <w:br/>
        <w:br/>
        <w:t>While SHA-256 doesn’t use keys on its own, it can be paired with them in protocols like HMAC-SHA-256 (using symmetric keys) or digital signatures (with asymmetric keys) to boost security.</w:t>
        <w:br/>
        <w:br/>
        <w:t>SHA-256 is part of the SHA-2 family and was launched in 2001. It remains widely utilized in various security protocols, such as SSL/TLS and cryptocurrencies.</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272204322"/>
      <w:bookmarkStart w:id="19" w:name="_Toc290624425"/>
      <w:bookmarkStart w:id="20" w:name="_Toc102040759"/>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3082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08292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53388823"/>
      <w:bookmarkStart w:id="22" w:name="_Toc469977634"/>
      <w:bookmarkStart w:id="23" w:name="_Toc102040760"/>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18370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83705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980769825"/>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3600" cy="18370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183705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258769504"/>
      <w:bookmarkStart w:id="28" w:name="_Toc1151872792"/>
      <w:bookmarkStart w:id="29" w:name="_Toc102040762"/>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3600" cy="38506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850640"/>
                    </a:xfrm>
                    <a:prstGeom prst="rect">
                      <a:avLst/>
                    </a:prstGeom>
                  </pic:spPr>
                </pic:pic>
              </a:graphicData>
            </a:graphic>
          </wp:anchor>
        </w:drawing>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36512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65125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726280430"/>
      <w:bookmarkStart w:id="31" w:name="_Toc190184513"/>
      <w:bookmarkStart w:id="32" w:name="_Toc102040763"/>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3600" cy="53530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535305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256172566"/>
      <w:bookmarkStart w:id="34" w:name="_Toc1705881728"/>
      <w:bookmarkStart w:id="35" w:name="_Toc102040764"/>
      <w:r>
        <w:rPr/>
        <w:t>Summary</w:t>
      </w:r>
      <w:bookmarkEnd w:id="33"/>
      <w:bookmarkEnd w:id="34"/>
      <w:bookmarkEnd w:id="35"/>
    </w:p>
    <w:p>
      <w:pPr>
        <w:pStyle w:val="Normal"/>
        <w:spacing w:before="0" w:after="0"/>
        <w:contextualSpacing/>
        <w:rPr>
          <w:rFonts w:eastAsia="Times New Roman"/>
          <w:sz w:val="22"/>
          <w:szCs w:val="22"/>
        </w:rPr>
      </w:pPr>
      <w:r>
        <w:rPr>
          <w:rFonts w:eastAsia="Times New Roman"/>
          <w:sz w:val="22"/>
          <w:szCs w:val="22"/>
        </w:rPr>
        <w:br/>
        <w:t>The updated code tackles security issues by improving input validation, error management, and cryptographic methods. The main updates include:</w:t>
        <w:br/>
        <w:br/>
        <w:t>- Input Validation: Implemented checks to confirm that data isn't null or empty before creating the checksum, which helps avoid problems with invalid inputs.</w:t>
        <w:br/>
        <w:t>- Error Management: Established smooth error handling during checksum creation to prevent revealing sensitive error information.</w:t>
        <w:br/>
        <w:t>- Secure Hashing: Continued use of SHA-256 for checksum generation, ensuring robust cryptographic security.</w:t>
        <w:br/>
        <w:t xml:space="preserve">- HTTPS/SSL Setup: </w:t>
      </w:r>
      <w:r>
        <w:rPr>
          <w:rFonts w:eastAsia="Times New Roman"/>
          <w:sz w:val="22"/>
          <w:szCs w:val="22"/>
        </w:rPr>
        <w:t>It’s important</w:t>
      </w:r>
      <w:r>
        <w:rPr>
          <w:rFonts w:eastAsia="Times New Roman"/>
          <w:sz w:val="22"/>
          <w:szCs w:val="22"/>
        </w:rPr>
        <w:t xml:space="preserve"> to enable HTTPS for secure data transmission.</w:t>
        <w:br/>
        <w:br/>
        <w:t>Security Approach:</w:t>
        <w:br/>
        <w:br/>
        <w:t xml:space="preserve">- Input Validation: Checking input before processing helps </w:t>
      </w:r>
      <w:r>
        <w:rPr>
          <w:rFonts w:eastAsia="Times New Roman"/>
          <w:sz w:val="22"/>
          <w:szCs w:val="22"/>
        </w:rPr>
        <w:t>stop</w:t>
      </w:r>
      <w:r>
        <w:rPr>
          <w:rFonts w:eastAsia="Times New Roman"/>
          <w:sz w:val="22"/>
          <w:szCs w:val="22"/>
        </w:rPr>
        <w:t xml:space="preserve"> attacks like injection or buffer overflow.</w:t>
        <w:br/>
        <w:t>- Error Management: Protects sensitive information from being disclosed in error messages.</w:t>
        <w:br/>
        <w:t>- Cryptographic Security: Utilizing SHA-256 for secure checksum generation guarantees data integrity.</w:t>
        <w:br/>
        <w:t xml:space="preserve">- HTTPS: </w:t>
      </w:r>
      <w:r>
        <w:rPr>
          <w:rFonts w:eastAsia="Times New Roman"/>
          <w:sz w:val="22"/>
          <w:szCs w:val="22"/>
        </w:rPr>
        <w:t>S</w:t>
      </w:r>
      <w:r>
        <w:rPr>
          <w:rFonts w:eastAsia="Times New Roman"/>
          <w:sz w:val="22"/>
          <w:szCs w:val="22"/>
        </w:rPr>
        <w:t>ecuring communications with HTTPS is vital for safeguarding data in transit.</w:t>
        <w:br/>
        <w:t>- Maintainability: Refactoring for dynamic data management enhances scalability and minimizes hardcoded values.</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71130422"/>
      <w:bookmarkStart w:id="37" w:name="_Toc102040765"/>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br/>
        <w:br/>
        <w:t xml:space="preserve">   - Input Validation and Sanitization: This step is crucial for safe data handling, as it checks inputs to avoid security problems.</w:t>
        <w:br/>
        <w:t xml:space="preserve">   - Secure Hashing: Using SHA-256 is the go-to method for secure hashing in the industry.</w:t>
        <w:br/>
        <w:t xml:space="preserve">   - Error Handling &amp; Logging: Good error management keeps your internal processes safe and prevents data leaks.</w:t>
        <w:br/>
        <w:t xml:space="preserve">   - Secure Communication: Setting up SSL/TLS (HTTPS) is key to protecting data during transmission.</w:t>
        <w:br/>
        <w:t xml:space="preserve">   - Configuration Management: For better security, keep sensitive information in configuration files or environment variables.</w:t>
        <w:br/>
        <w:br/>
        <w:t>Advantages of Following Best Practices:</w:t>
        <w:br/>
        <w:br/>
        <w:t xml:space="preserve">   - Lower Risk of Breaches: Solid security measures help minimize the chances of vulnerabilities and data leaks.</w:t>
        <w:br/>
        <w:t xml:space="preserve">   - Boosted Trust: Clients are more likely to trust systems that adhere to secure coding practices.</w:t>
        <w:br/>
        <w:t xml:space="preserve">   - Compliance with Regulations: Following secure coding guidelines helps meet industry regulations.</w:t>
        <w:br/>
        <w:t xml:space="preserve">   - Easier Maintenance &amp; Scalability: Well-organized and secure code is simpler to maintain and expand.</w:t>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9"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8105" cy="184785"/>
              <wp:effectExtent l="0" t="0" r="0" b="0"/>
              <wp:wrapNone/>
              <wp:docPr id="10" name="Frame2"/>
              <a:graphic xmlns:a="http://schemas.openxmlformats.org/drawingml/2006/main">
                <a:graphicData uri="http://schemas.microsoft.com/office/word/2010/wordprocessingShape">
                  <wps:wsp>
                    <wps:cNvSpPr/>
                    <wps:spPr>
                      <a:xfrm>
                        <a:off x="0" y="0"/>
                        <a:ext cx="78120" cy="1846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0.9pt;margin-top:0.05pt;width:6.1pt;height:14.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8105" cy="184785"/>
              <wp:effectExtent l="0" t="0" r="0" b="0"/>
              <wp:wrapNone/>
              <wp:docPr id="11" name="Frame2"/>
              <a:graphic xmlns:a="http://schemas.openxmlformats.org/drawingml/2006/main">
                <a:graphicData uri="http://schemas.microsoft.com/office/word/2010/wordprocessingShape">
                  <wps:wsp>
                    <wps:cNvSpPr/>
                    <wps:spPr>
                      <a:xfrm>
                        <a:off x="0" y="0"/>
                        <a:ext cx="78120" cy="1846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0.9pt;margin-top:0.05pt;width:6.1pt;height:14.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themeColor="accent1" w:themeShade="80" w:val="1F3864"/>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themeColor="accent1" w:themeShade="80" w:val="1F3864"/>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TOC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TOC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TOC3">
    <w:name w:val="TOC 3"/>
    <w:basedOn w:val="Normal"/>
    <w:next w:val="Normal"/>
    <w:autoRedefine/>
    <w:uiPriority w:val="39"/>
    <w:unhideWhenUsed/>
    <w:rsid w:val="005c593c"/>
    <w:pPr/>
    <w:rPr>
      <w:smallCaps/>
      <w:sz w:val="22"/>
      <w:szCs w:val="22"/>
    </w:rPr>
  </w:style>
  <w:style w:type="paragraph" w:styleId="TOC4">
    <w:name w:val="TOC 4"/>
    <w:basedOn w:val="Normal"/>
    <w:next w:val="Normal"/>
    <w:autoRedefine/>
    <w:uiPriority w:val="39"/>
    <w:semiHidden/>
    <w:unhideWhenUsed/>
    <w:rsid w:val="005c593c"/>
    <w:pPr/>
    <w:rPr>
      <w:sz w:val="22"/>
      <w:szCs w:val="22"/>
    </w:rPr>
  </w:style>
  <w:style w:type="paragraph" w:styleId="TOC5">
    <w:name w:val="TOC 5"/>
    <w:basedOn w:val="Normal"/>
    <w:next w:val="Normal"/>
    <w:autoRedefine/>
    <w:uiPriority w:val="39"/>
    <w:semiHidden/>
    <w:unhideWhenUsed/>
    <w:rsid w:val="005c593c"/>
    <w:pPr/>
    <w:rPr>
      <w:sz w:val="22"/>
      <w:szCs w:val="22"/>
    </w:rPr>
  </w:style>
  <w:style w:type="paragraph" w:styleId="TOC6">
    <w:name w:val="TOC 6"/>
    <w:basedOn w:val="Normal"/>
    <w:next w:val="Normal"/>
    <w:autoRedefine/>
    <w:uiPriority w:val="39"/>
    <w:semiHidden/>
    <w:unhideWhenUsed/>
    <w:rsid w:val="005c593c"/>
    <w:pPr/>
    <w:rPr>
      <w:sz w:val="22"/>
      <w:szCs w:val="22"/>
    </w:rPr>
  </w:style>
  <w:style w:type="paragraph" w:styleId="TOC7">
    <w:name w:val="TOC 7"/>
    <w:basedOn w:val="Normal"/>
    <w:next w:val="Normal"/>
    <w:autoRedefine/>
    <w:uiPriority w:val="39"/>
    <w:semiHidden/>
    <w:unhideWhenUsed/>
    <w:rsid w:val="005c593c"/>
    <w:pPr/>
    <w:rPr>
      <w:sz w:val="22"/>
      <w:szCs w:val="22"/>
    </w:rPr>
  </w:style>
  <w:style w:type="paragraph" w:styleId="TOC8">
    <w:name w:val="TOC 8"/>
    <w:basedOn w:val="Normal"/>
    <w:next w:val="Normal"/>
    <w:autoRedefine/>
    <w:uiPriority w:val="39"/>
    <w:semiHidden/>
    <w:unhideWhenUsed/>
    <w:rsid w:val="005c593c"/>
    <w:pPr/>
    <w:rPr>
      <w:sz w:val="22"/>
      <w:szCs w:val="22"/>
    </w:rPr>
  </w:style>
  <w:style w:type="paragraph" w:styleId="TOC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LibreOffice/24.2.5.2$Windows_X86_64 LibreOffice_project/bffef4ea93e59bebbeaf7f431bb02b1a39ee8a59</Application>
  <AppVersion>15.0000</AppVersion>
  <Pages>8</Pages>
  <Words>695</Words>
  <Characters>3992</Characters>
  <CharactersWithSpaces>4667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2025-02-20T09:00:54Z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