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6"/>
          <w:szCs w:val="36"/>
        </w:rPr>
        <w:t xml:space="preserve">ABDM Backend — Developer Guide</w:t>
      </w:r>
    </w:p>
    <w:p>
      <w:pPr>
        <w:spacing w:after="200"/>
      </w:pPr>
      <w:r>
        <w:rPr>
          <w:i/>
          <w:iCs/>
          <w:color w:val="555555"/>
          <w:sz w:val="19"/>
          <w:szCs w:val="19"/>
        </w:rPr>
        <w:t xml:space="preserve">A walkthrough of the abdm-backend repository: what every file is for, and how each end-to-end flow actually runs. Companion to the ABDM Integration Primer.</w:t>
      </w:r>
    </w:p>
    <w:p>
      <w:pPr>
        <w:pStyle w:val="Heading1"/>
        <w:pBdr>
          <w:bottom w:val="single" w:color="0E6E5C" w:sz="8" w:space="3"/>
        </w:pBdr>
        <w:spacing w:after="100" w:before="320"/>
      </w:pPr>
      <w:r>
        <w:rPr>
          <w:b/>
          <w:bCs/>
          <w:color w:val="1F3A5F"/>
          <w:sz w:val="28"/>
          <w:szCs w:val="28"/>
        </w:rPr>
        <w:t xml:space="preserve">1. What this repository is</w:t>
      </w:r>
    </w:p>
    <w:p>
      <w:pPr>
        <w:spacing w:after="120" w:line="268"/>
      </w:pPr>
      <w:r>
        <w:rPr>
          <w:color w:val="222222"/>
          <w:sz w:val="20"/>
          <w:szCs w:val="20"/>
        </w:rPr>
        <w:t xml:space="preserve">This is a Python/FastAPI backend that integrates with India's ABDM sandbox. It is not a single-purpose service — it plays two opposite roles in the ABDM ecosystem at the same time, from one running process:</w:t>
      </w:r>
    </w:p>
    <w:p>
      <w:pPr>
        <w:spacing w:after="120" w:line="268"/>
      </w:pPr>
      <w:r>
        <w:rPr>
          <w:b/>
          <w:bCs/>
          <w:color w:val="222222"/>
          <w:sz w:val="20"/>
          <w:szCs w:val="20"/>
        </w:rPr>
        <w:t xml:space="preserve">As a HIP (Health Information Provider) — </w:t>
      </w:r>
      <w:r>
        <w:rPr>
          <w:color w:val="222222"/>
          <w:sz w:val="20"/>
          <w:szCs w:val="20"/>
        </w:rPr>
        <w:t xml:space="preserve">it holds patient records, answers ABDM's patient-search requests, links visits to a patient's ABHA, and pushes encrypted health records out when a consent is granted. This is what the team calls M2.</w:t>
      </w:r>
    </w:p>
    <w:p>
      <w:pPr>
        <w:spacing w:after="120" w:line="268"/>
      </w:pPr>
      <w:r>
        <w:rPr>
          <w:b/>
          <w:bCs/>
          <w:color w:val="222222"/>
          <w:sz w:val="20"/>
          <w:szCs w:val="20"/>
        </w:rPr>
        <w:t xml:space="preserve">As an HIU (Health Information User) — </w:t>
      </w:r>
      <w:r>
        <w:rPr>
          <w:color w:val="222222"/>
          <w:sz w:val="20"/>
          <w:szCs w:val="20"/>
        </w:rPr>
        <w:t xml:space="preserve">it raises consent requests for a patient's records held elsewhere, and receives, decrypts and stores the data that comes back. This is M3.</w:t>
      </w:r>
    </w:p>
    <w:p>
      <w:pPr>
        <w:spacing w:after="120" w:line="268"/>
      </w:pPr>
      <w:r>
        <w:rPr>
          <w:color w:val="222222"/>
          <w:sz w:val="20"/>
          <w:szCs w:val="20"/>
        </w:rPr>
        <w:t xml:space="preserve">It also contains all the ABHA identity calls — enrollment, the eight login methods, profile management (M1) — which run as a command-line test suite rather than as server routes.</w:t>
      </w:r>
    </w:p>
    <w:p>
      <w:pPr>
        <w:spacing w:after="120" w:line="268"/>
      </w:pPr>
      <w:r>
        <w:rPr>
          <w:color w:val="222222"/>
          <w:sz w:val="20"/>
          <w:szCs w:val="20"/>
        </w:rPr>
        <w:t xml:space="preserve">Finally, the patient-facing PHR app (a separate repository, </w:t>
      </w:r>
      <w:r>
        <w:rPr>
          <w:rFonts w:ascii="Consolas" w:cs="Consolas" w:eastAsia="Consolas" w:hAnsi="Consolas"/>
          <w:color w:val="0B4F6C"/>
          <w:sz w:val="18"/>
          <w:szCs w:val="18"/>
        </w:rPr>
        <w:t xml:space="preserve">aegle-phr</w:t>
      </w:r>
      <w:r>
        <w:rPr>
          <w:color w:val="222222"/>
          <w:sz w:val="20"/>
          <w:szCs w:val="20"/>
        </w:rPr>
        <w:t xml:space="preserve">) mounts into this same process at startup, because the project has only one registered ABDM callback URL and it points here. If that package isn't installed, this backend still runs standalone — the import is wrapped in a try/except deliberately.</w:t>
      </w:r>
    </w:p>
    <w:p>
      <w:pPr>
        <w:pStyle w:val="Heading2"/>
        <w:spacing w:after="60" w:before="240"/>
      </w:pPr>
      <w:r>
        <w:rPr>
          <w:b/>
          <w:bCs/>
          <w:color w:val="0E6E5C"/>
          <w:sz w:val="23"/>
          <w:szCs w:val="23"/>
        </w:rPr>
        <w:t xml:space="preserve">The one architectural fact that explains the whole codebase</w:t>
      </w:r>
    </w:p>
    <w:p>
      <w:pPr>
        <w:spacing w:after="120" w:line="268"/>
      </w:pPr>
      <w:r>
        <w:rPr>
          <w:color w:val="222222"/>
          <w:sz w:val="20"/>
          <w:szCs w:val="20"/>
        </w:rPr>
        <w:t xml:space="preserve">Almost nothing in ABDM is a simple request-and-response. You call ABDM, ABDM immediately answers "202 Accepted", and the real answer arrives seconds later as a fresh HTTP POST from ABDM to a callback URL you registered in advance. A single logical operation is therefore several disconnected HTTP exchanges.</w:t>
      </w:r>
    </w:p>
    <w:p>
      <w:pPr>
        <w:spacing w:after="120" w:line="268"/>
      </w:pPr>
      <w:r>
        <w:rPr>
          <w:color w:val="222222"/>
          <w:sz w:val="20"/>
          <w:szCs w:val="20"/>
        </w:rPr>
        <w:t xml:space="preserve">That is why so much of this repository is correlation machinery: before every outbound call, the code saves a "pending session" keyed by the request ID it generated; when the callback eventually arrives, the service looks that session back up, resumes where it left off, and often fires the next outbound call automatically. Once you see that pattern, the layout of the code makes sense.</w:t>
      </w:r>
    </w:p>
    <w:p>
      <w:pPr>
        <w:spacing w:after="120" w:line="268"/>
      </w:pPr>
      <w:r>
        <w:rPr>
          <w:color w:val="222222"/>
          <w:sz w:val="20"/>
          <w:szCs w:val="20"/>
        </w:rPr>
        <w:t xml:space="preserve">It also means the server must be publicly reachable for any of this to work. The project uses a fixed ngrok domain pointed at port 8000; ABDM has that URL registered. If the tunnel is down, outbound calls still succeed and then nothing ever happens, because the callbacks cannot land.</w:t>
      </w:r>
    </w:p>
    <w:p>
      <w:pPr>
        <w:pStyle w:val="Heading1"/>
        <w:pBdr>
          <w:bottom w:val="single" w:color="0E6E5C" w:sz="8" w:space="3"/>
        </w:pBdr>
        <w:spacing w:after="100" w:before="320"/>
      </w:pPr>
      <w:r>
        <w:rPr>
          <w:b/>
          <w:bCs/>
          <w:color w:val="1F3A5F"/>
          <w:sz w:val="28"/>
          <w:szCs w:val="28"/>
        </w:rPr>
        <w:t xml:space="preserve">2. Running it</w:t>
      </w:r>
    </w:p>
    <w:p>
      <w:pPr>
        <w:spacing w:after="120" w:line="268"/>
      </w:pPr>
      <w:r>
        <w:rPr>
          <w:color w:val="222222"/>
          <w:sz w:val="20"/>
          <w:szCs w:val="20"/>
        </w:rPr>
        <w:t xml:space="preserve">Full setup is in </w:t>
      </w:r>
      <w:r>
        <w:rPr>
          <w:rFonts w:ascii="Consolas" w:cs="Consolas" w:eastAsia="Consolas" w:hAnsi="Consolas"/>
          <w:color w:val="0B4F6C"/>
          <w:sz w:val="18"/>
          <w:szCs w:val="18"/>
        </w:rPr>
        <w:t xml:space="preserve">LOCAL_DEV_SETUP.md</w:t>
      </w:r>
      <w:r>
        <w:rPr>
          <w:color w:val="222222"/>
          <w:sz w:val="20"/>
          <w:szCs w:val="20"/>
        </w:rPr>
        <w:t xml:space="preserve">. In short: activate the conda environment, make sure Postgres is running, start the server with </w:t>
      </w:r>
      <w:r>
        <w:rPr>
          <w:rFonts w:ascii="Consolas" w:cs="Consolas" w:eastAsia="Consolas" w:hAnsi="Consolas"/>
          <w:color w:val="0B4F6C"/>
          <w:sz w:val="18"/>
          <w:szCs w:val="18"/>
        </w:rPr>
        <w:t xml:space="preserve">uvicorn server.main:app --reload</w:t>
      </w:r>
      <w:r>
        <w:rPr>
          <w:color w:val="222222"/>
          <w:sz w:val="20"/>
          <w:szCs w:val="20"/>
        </w:rPr>
        <w:t xml:space="preserve">, and make sure the ngrok service is up so ABDM can reach the callback URL. Check </w:t>
      </w:r>
      <w:r>
        <w:rPr>
          <w:rFonts w:ascii="Consolas" w:cs="Consolas" w:eastAsia="Consolas" w:hAnsi="Consolas"/>
          <w:color w:val="0B4F6C"/>
          <w:sz w:val="18"/>
          <w:szCs w:val="18"/>
        </w:rPr>
        <w:t xml:space="preserve">/health</w:t>
      </w:r>
      <w:r>
        <w:rPr>
          <w:color w:val="222222"/>
          <w:sz w:val="20"/>
          <w:szCs w:val="20"/>
        </w:rPr>
        <w:t xml:space="preserve"> — it reports whether the database is reachable.</w:t>
      </w:r>
    </w:p>
    <w:p>
      <w:pPr>
        <w:spacing w:after="120" w:line="268"/>
      </w:pPr>
      <w:r>
        <w:rPr>
          <w:color w:val="222222"/>
          <w:sz w:val="20"/>
          <w:szCs w:val="20"/>
        </w:rPr>
        <w:t xml:space="preserve">Schema is managed by Alembic (</w:t>
      </w:r>
      <w:r>
        <w:rPr>
          <w:rFonts w:ascii="Consolas" w:cs="Consolas" w:eastAsia="Consolas" w:hAnsi="Consolas"/>
          <w:color w:val="0B4F6C"/>
          <w:sz w:val="18"/>
          <w:szCs w:val="18"/>
        </w:rPr>
        <w:t xml:space="preserve">alembic/</w:t>
      </w:r>
      <w:r>
        <w:rPr>
          <w:color w:val="222222"/>
          <w:sz w:val="20"/>
          <w:szCs w:val="20"/>
        </w:rPr>
        <w:t xml:space="preserve">). Nothing is created automatically at startup; migrations are applied explicitly.</w:t>
      </w:r>
    </w:p>
    <w:p>
      <w:pPr>
        <w:spacing w:after="120" w:line="268"/>
      </w:pPr>
      <w:r>
        <w:rPr>
          <w:color w:val="222222"/>
          <w:sz w:val="20"/>
          <w:szCs w:val="20"/>
        </w:rPr>
        <w:t xml:space="preserve">Three interactive CLIs drive the flows manually against the live sandbox:</w:t>
      </w:r>
    </w:p>
    <w:p>
      <w:pPr>
        <w:spacing w:after="120" w:line="268"/>
        <w:ind w:left="300"/>
      </w:pPr>
      <w:r>
        <w:rPr>
          <w:rFonts w:ascii="Consolas" w:cs="Consolas" w:eastAsia="Consolas" w:hAnsi="Consolas"/>
          <w:color w:val="0B4F6C"/>
          <w:sz w:val="18"/>
          <w:szCs w:val="18"/>
        </w:rPr>
        <w:t xml:space="preserve">python -m tools.m1_test_suite.cli</w:t>
      </w:r>
      <w:r>
        <w:rPr>
          <w:color w:val="222222"/>
          <w:sz w:val="20"/>
          <w:szCs w:val="20"/>
        </w:rPr>
        <w:t xml:space="preserve"> — 13 ABHA enrollment / login / profile flows. Purely synchronous; does not need the server running.</w:t>
      </w:r>
    </w:p>
    <w:p>
      <w:pPr>
        <w:spacing w:after="120" w:line="268"/>
        <w:ind w:left="300"/>
      </w:pPr>
      <w:r>
        <w:rPr>
          <w:rFonts w:ascii="Consolas" w:cs="Consolas" w:eastAsia="Consolas" w:hAnsi="Consolas"/>
          <w:color w:val="0B4F6C"/>
          <w:sz w:val="18"/>
          <w:szCs w:val="18"/>
        </w:rPr>
        <w:t xml:space="preserve">python -m tools.m2_test_suite.cli</w:t>
      </w:r>
      <w:r>
        <w:rPr>
          <w:color w:val="222222"/>
          <w:sz w:val="20"/>
          <w:szCs w:val="20"/>
        </w:rPr>
        <w:t xml:space="preserve"> — 6 flows: four synchronous bridge/gateway admin calls, plus HIP-Initiated Linking and SMS notification, which need the server and tunnel up.</w:t>
      </w:r>
    </w:p>
    <w:p>
      <w:pPr>
        <w:spacing w:after="120" w:line="268"/>
        <w:ind w:left="300"/>
      </w:pPr>
      <w:r>
        <w:rPr>
          <w:rFonts w:ascii="Consolas" w:cs="Consolas" w:eastAsia="Consolas" w:hAnsi="Consolas"/>
          <w:color w:val="0B4F6C"/>
          <w:sz w:val="18"/>
          <w:szCs w:val="18"/>
        </w:rPr>
        <w:t xml:space="preserve">python -m tools.m3_test_suite.cli</w:t>
      </w:r>
      <w:r>
        <w:rPr>
          <w:color w:val="222222"/>
          <w:sz w:val="20"/>
          <w:szCs w:val="20"/>
        </w:rPr>
        <w:t xml:space="preserve"> — 2 flows: Consent Init Request and Health Information Request. Both need the server and tunnel up.</w:t>
      </w:r>
    </w:p>
    <w:p>
      <w:pPr>
        <w:spacing w:after="120" w:line="268"/>
      </w:pPr>
      <w:r>
        <w:rPr>
          <w:color w:val="222222"/>
          <w:sz w:val="20"/>
          <w:szCs w:val="20"/>
        </w:rPr>
        <w:t xml:space="preserve">There is no automated test suite. Verification is done by running these CLIs against the real sandbox and reading the logs.</w:t>
      </w:r>
    </w:p>
    <w:p>
      <w:pPr>
        <w:pStyle w:val="Heading1"/>
        <w:pBdr>
          <w:bottom w:val="single" w:color="0E6E5C" w:sz="8" w:space="3"/>
        </w:pBdr>
        <w:spacing w:after="100" w:before="320"/>
      </w:pPr>
      <w:r>
        <w:rPr>
          <w:b/>
          <w:bCs/>
          <w:color w:val="1F3A5F"/>
          <w:sz w:val="28"/>
          <w:szCs w:val="28"/>
        </w:rPr>
        <w:t xml:space="preserve">3. Directory map</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840"/>
      </w:tblGrid>
      <w:tr>
        <w:trPr>
          <w:tblHeader/>
        </w:trPr>
        <w:tc>
          <w:tcPr>
            <w:tcW w:type="dxa" w:w="2600"/>
            <w:shd w:fill="F2F5F7" w:color="auto" w:val="clear"/>
            <w:tcMar>
              <w:top w:type="dxa" w:w="60"/>
              <w:left w:type="dxa" w:w="110"/>
              <w:bottom w:type="dxa" w:w="60"/>
              <w:right w:type="dxa" w:w="110"/>
            </w:tcMar>
          </w:tcPr>
          <w:p>
            <w:r>
              <w:rPr>
                <w:b/>
                <w:bCs/>
                <w:color w:val="1F3A5F"/>
                <w:sz w:val="18"/>
                <w:szCs w:val="18"/>
              </w:rPr>
              <w:t xml:space="preserve">File</w:t>
            </w:r>
          </w:p>
        </w:tc>
        <w:tc>
          <w:tcPr>
            <w:tcW w:type="dxa" w:w="78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server/</w:t>
            </w:r>
          </w:p>
        </w:tc>
        <w:tc>
          <w:tcPr>
            <w:tcW w:type="dxa" w:w="7840"/>
            <w:tcMar>
              <w:top w:type="dxa" w:w="60"/>
              <w:left w:type="dxa" w:w="110"/>
              <w:bottom w:type="dxa" w:w="60"/>
              <w:right w:type="dxa" w:w="110"/>
            </w:tcMar>
          </w:tcPr>
          <w:p>
            <w:pPr>
              <w:spacing w:line="240"/>
            </w:pPr>
            <w:r>
              <w:rPr>
                <w:sz w:val="18"/>
                <w:szCs w:val="18"/>
              </w:rPr>
              <w:t xml:space="preserve">The live FastAPI application — everything that runs in production.</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server/callbacks/</w:t>
            </w:r>
          </w:p>
        </w:tc>
        <w:tc>
          <w:tcPr>
            <w:tcW w:type="dxa" w:w="7840"/>
            <w:tcMar>
              <w:top w:type="dxa" w:w="60"/>
              <w:left w:type="dxa" w:w="110"/>
              <w:bottom w:type="dxa" w:w="60"/>
              <w:right w:type="dxa" w:w="110"/>
            </w:tcMar>
          </w:tcPr>
          <w:p>
            <w:pPr>
              <w:spacing w:line="240"/>
            </w:pPr>
            <w:r>
              <w:rPr>
                <w:sz w:val="18"/>
                <w:szCs w:val="18"/>
              </w:rPr>
              <w:t xml:space="preserve">Everything to do with inbound calls from ABDM: routing, dispatch, per-callback business logic, state stores, shared utilities.</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server/fhir_builders/</w:t>
            </w:r>
          </w:p>
        </w:tc>
        <w:tc>
          <w:tcPr>
            <w:tcW w:type="dxa" w:w="7840"/>
            <w:tcMar>
              <w:top w:type="dxa" w:w="60"/>
              <w:left w:type="dxa" w:w="110"/>
              <w:bottom w:type="dxa" w:w="60"/>
              <w:right w:type="dxa" w:w="110"/>
            </w:tcMar>
          </w:tcPr>
          <w:p>
            <w:pPr>
              <w:spacing w:line="240"/>
            </w:pPr>
            <w:r>
              <w:rPr>
                <w:sz w:val="18"/>
                <w:szCs w:val="18"/>
              </w:rPr>
              <w:t xml:space="preserve">Converts EMR rows into FHIR R4 resources and bundles. Permanent, reusable, data-source agnostic.</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server/data/</w:t>
            </w:r>
          </w:p>
        </w:tc>
        <w:tc>
          <w:tcPr>
            <w:tcW w:type="dxa" w:w="7840"/>
            <w:tcMar>
              <w:top w:type="dxa" w:w="60"/>
              <w:left w:type="dxa" w:w="110"/>
              <w:bottom w:type="dxa" w:w="60"/>
              <w:right w:type="dxa" w:w="110"/>
            </w:tcMar>
          </w:tcPr>
          <w:p>
            <w:pPr>
              <w:spacing w:line="240"/>
            </w:pPr>
            <w:r>
              <w:rPr>
                <w:sz w:val="18"/>
                <w:szCs w:val="18"/>
              </w:rPr>
              <w:t xml:space="preserve">Legacy CSV fixture data plus generated FHIR bundle samples. The live data source is now Postgres; these remain as reference.</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alembic/</w:t>
            </w:r>
          </w:p>
        </w:tc>
        <w:tc>
          <w:tcPr>
            <w:tcW w:type="dxa" w:w="7840"/>
            <w:tcMar>
              <w:top w:type="dxa" w:w="60"/>
              <w:left w:type="dxa" w:w="110"/>
              <w:bottom w:type="dxa" w:w="60"/>
              <w:right w:type="dxa" w:w="110"/>
            </w:tcMar>
          </w:tcPr>
          <w:p>
            <w:pPr>
              <w:spacing w:line="240"/>
            </w:pPr>
            <w:r>
              <w:rPr>
                <w:sz w:val="18"/>
                <w:szCs w:val="18"/>
              </w:rPr>
              <w:t xml:space="preserve">Database migrations — 16 of them, covering both the callback state tables and the dummy EMR tables.</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tools/</w:t>
            </w:r>
          </w:p>
        </w:tc>
        <w:tc>
          <w:tcPr>
            <w:tcW w:type="dxa" w:w="7840"/>
            <w:tcMar>
              <w:top w:type="dxa" w:w="60"/>
              <w:left w:type="dxa" w:w="110"/>
              <w:bottom w:type="dxa" w:w="60"/>
              <w:right w:type="dxa" w:w="110"/>
            </w:tcMar>
          </w:tcPr>
          <w:p>
            <w:pPr>
              <w:spacing w:line="240"/>
            </w:pPr>
            <w:r>
              <w:rPr>
                <w:sz w:val="18"/>
                <w:szCs w:val="18"/>
              </w:rPr>
              <w:t xml:space="preserve">Everything that is not the running server: the three test CLIs, the dummy EMR generator, validators, and one-off migration scripts.</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storage/</w:t>
            </w:r>
          </w:p>
        </w:tc>
        <w:tc>
          <w:tcPr>
            <w:tcW w:type="dxa" w:w="7840"/>
            <w:tcMar>
              <w:top w:type="dxa" w:w="60"/>
              <w:left w:type="dxa" w:w="110"/>
              <w:bottom w:type="dxa" w:w="60"/>
              <w:right w:type="dxa" w:w="110"/>
            </w:tcMar>
          </w:tcPr>
          <w:p>
            <w:pPr>
              <w:spacing w:line="240"/>
            </w:pPr>
            <w:r>
              <w:rPr>
                <w:sz w:val="18"/>
                <w:szCs w:val="18"/>
              </w:rPr>
              <w:t xml:space="preserve">Archived raw callback payloads, full request/response captures, and the superseded .jsonl state files (now inert audit trails).</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logs/</w:t>
            </w:r>
          </w:p>
        </w:tc>
        <w:tc>
          <w:tcPr>
            <w:tcW w:type="dxa" w:w="7840"/>
            <w:tcMar>
              <w:top w:type="dxa" w:w="60"/>
              <w:left w:type="dxa" w:w="110"/>
              <w:bottom w:type="dxa" w:w="60"/>
              <w:right w:type="dxa" w:w="110"/>
            </w:tcMar>
          </w:tcPr>
          <w:p>
            <w:pPr>
              <w:spacing w:line="240"/>
            </w:pPr>
            <w:r>
              <w:rPr>
                <w:sz w:val="18"/>
                <w:szCs w:val="18"/>
              </w:rPr>
              <w:t xml:space="preserve">Narrative per-day, per-milestone log files (m1_*.log, m2_*.log, m3_*.log).</w:t>
            </w:r>
          </w:p>
        </w:tc>
      </w:tr>
      <w:tr>
        <w:tc>
          <w:tcPr>
            <w:tcW w:type="dxa" w:w="2600"/>
            <w:tcMar>
              <w:top w:type="dxa" w:w="60"/>
              <w:left w:type="dxa" w:w="110"/>
              <w:bottom w:type="dxa" w:w="60"/>
              <w:right w:type="dxa" w:w="110"/>
            </w:tcMar>
          </w:tcPr>
          <w:p>
            <w:r>
              <w:rPr>
                <w:rFonts w:ascii="Consolas" w:cs="Consolas" w:eastAsia="Consolas" w:hAnsi="Consolas"/>
                <w:color w:val="0B4F6C"/>
                <w:sz w:val="17"/>
                <w:szCs w:val="17"/>
              </w:rPr>
              <w:t xml:space="preserve">.venv/, tools/_to_delete/</w:t>
            </w:r>
          </w:p>
        </w:tc>
        <w:tc>
          <w:tcPr>
            <w:tcW w:type="dxa" w:w="7840"/>
            <w:tcMar>
              <w:top w:type="dxa" w:w="60"/>
              <w:left w:type="dxa" w:w="110"/>
              <w:bottom w:type="dxa" w:w="60"/>
              <w:right w:type="dxa" w:w="110"/>
            </w:tcMar>
          </w:tcPr>
          <w:p>
            <w:pPr>
              <w:spacing w:line="240"/>
            </w:pPr>
            <w:r>
              <w:rPr>
                <w:sz w:val="18"/>
                <w:szCs w:val="18"/>
              </w:rPr>
              <w:t xml:space="preserve">Not project code. The virtualenv and a parking area for dead scripts — ignore both.</w:t>
            </w:r>
          </w:p>
        </w:tc>
      </w:tr>
    </w:tbl>
    <w:p>
      <w:pPr>
        <w:spacing w:after="120"/>
      </w:pPr>
    </w:p>
    <w:p>
      <w:pPr>
        <w:pStyle w:val="Heading1"/>
        <w:pBdr>
          <w:bottom w:val="single" w:color="0E6E5C" w:sz="8" w:space="3"/>
        </w:pBdr>
        <w:spacing w:after="100" w:before="320"/>
      </w:pPr>
      <w:r>
        <w:rPr>
          <w:b/>
          <w:bCs/>
          <w:color w:val="1F3A5F"/>
          <w:sz w:val="28"/>
          <w:szCs w:val="28"/>
        </w:rPr>
        <w:t xml:space="preserve">4. File reference</w:t>
      </w:r>
    </w:p>
    <w:p>
      <w:pPr>
        <w:pStyle w:val="Heading2"/>
        <w:spacing w:after="60" w:before="240"/>
      </w:pPr>
      <w:r>
        <w:rPr>
          <w:b/>
          <w:bCs/>
          <w:color w:val="0E6E5C"/>
          <w:sz w:val="23"/>
          <w:szCs w:val="23"/>
        </w:rPr>
        <w:t xml:space="preserve">4.1 Entry point and configuration</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540"/>
      </w:tblGrid>
      <w:tr>
        <w:trPr>
          <w:tblHeader/>
        </w:trPr>
        <w:tc>
          <w:tcPr>
            <w:tcW w:type="dxa" w:w="2900"/>
            <w:shd w:fill="F2F5F7" w:color="auto" w:val="clear"/>
            <w:tcMar>
              <w:top w:type="dxa" w:w="60"/>
              <w:left w:type="dxa" w:w="110"/>
              <w:bottom w:type="dxa" w:w="60"/>
              <w:right w:type="dxa" w:w="110"/>
            </w:tcMar>
          </w:tcPr>
          <w:p>
            <w:r>
              <w:rPr>
                <w:b/>
                <w:bCs/>
                <w:color w:val="1F3A5F"/>
                <w:sz w:val="18"/>
                <w:szCs w:val="18"/>
              </w:rPr>
              <w:t xml:space="preserve">File</w:t>
            </w:r>
          </w:p>
        </w:tc>
        <w:tc>
          <w:tcPr>
            <w:tcW w:type="dxa" w:w="75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server/main.py</w:t>
            </w:r>
          </w:p>
        </w:tc>
        <w:tc>
          <w:tcPr>
            <w:tcW w:type="dxa" w:w="7540"/>
            <w:tcMar>
              <w:top w:type="dxa" w:w="60"/>
              <w:left w:type="dxa" w:w="110"/>
              <w:bottom w:type="dxa" w:w="60"/>
              <w:right w:type="dxa" w:w="110"/>
            </w:tcMar>
          </w:tcPr>
          <w:p>
            <w:pPr>
              <w:spacing w:line="240"/>
            </w:pPr>
            <w:r>
              <w:rPr>
                <w:sz w:val="18"/>
                <w:szCs w:val="18"/>
              </w:rPr>
              <w:t xml:space="preserve">Builds the FastAPI app. Initialises this repo's own Postgres engine before any request can be served, registers every ABDM callback route, applies wildcard CORS (deliberate for the sandbox harness), and mounts the PHR app if aegle-phr is installed. Also serves /, /health (which reports database reachability rather than failing outright) and /echo.</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server/config.py</w:t>
            </w:r>
          </w:p>
        </w:tc>
        <w:tc>
          <w:tcPr>
            <w:tcW w:type="dxa" w:w="7540"/>
            <w:tcMar>
              <w:top w:type="dxa" w:w="60"/>
              <w:left w:type="dxa" w:w="110"/>
              <w:bottom w:type="dxa" w:w="60"/>
              <w:right w:type="dxa" w:w="110"/>
            </w:tcMar>
          </w:tcPr>
          <w:p>
            <w:pPr>
              <w:spacing w:line="240"/>
            </w:pPr>
            <w:r>
              <w:rPr>
                <w:sz w:val="18"/>
                <w:szCs w:val="18"/>
              </w:rPr>
              <w:t xml:space="preserve">Every configurable value in one place: DATABASE_URL, CLIENT_ID / CLIENT_SECRET (read from .env, never hardcoded), the four ABDM base URLs (gateway, ABHA, HIE-CM, facility registry), X-CM-ID ("sbx"), the fixed ngrok callback URL, the list of registered HIP facilities, an attachment-strategy override map, and HEALTH_INFORMATION_TRIGGER_MODE.</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requirements.txt / alembic.ini / .env</w:t>
            </w:r>
          </w:p>
        </w:tc>
        <w:tc>
          <w:tcPr>
            <w:tcW w:type="dxa" w:w="7540"/>
            <w:tcMar>
              <w:top w:type="dxa" w:w="60"/>
              <w:left w:type="dxa" w:w="110"/>
              <w:bottom w:type="dxa" w:w="60"/>
              <w:right w:type="dxa" w:w="110"/>
            </w:tcMar>
          </w:tcPr>
          <w:p>
            <w:pPr>
              <w:spacing w:line="240"/>
            </w:pPr>
            <w:r>
              <w:rPr>
                <w:sz w:val="18"/>
                <w:szCs w:val="18"/>
              </w:rPr>
              <w:t xml:space="preserve">Dependencies, Alembic configuration, and secrets. Secrets live only in .env.</w:t>
            </w:r>
          </w:p>
        </w:tc>
      </w:tr>
    </w:tbl>
    <w:p>
      <w:pPr>
        <w:pStyle w:val="Heading2"/>
        <w:spacing w:after="60" w:before="240"/>
      </w:pPr>
      <w:r>
        <w:rPr>
          <w:b/>
          <w:bCs/>
          <w:color w:val="0E6E5C"/>
          <w:sz w:val="23"/>
          <w:szCs w:val="23"/>
        </w:rPr>
        <w:t xml:space="preserve">4.2 Shared infrastructure</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540"/>
      </w:tblGrid>
      <w:tr>
        <w:trPr>
          <w:tblHeader/>
        </w:trPr>
        <w:tc>
          <w:tcPr>
            <w:tcW w:type="dxa" w:w="2900"/>
            <w:shd w:fill="F2F5F7" w:color="auto" w:val="clear"/>
            <w:tcMar>
              <w:top w:type="dxa" w:w="60"/>
              <w:left w:type="dxa" w:w="110"/>
              <w:bottom w:type="dxa" w:w="60"/>
              <w:right w:type="dxa" w:w="110"/>
            </w:tcMar>
          </w:tcPr>
          <w:p>
            <w:r>
              <w:rPr>
                <w:b/>
                <w:bCs/>
                <w:color w:val="1F3A5F"/>
                <w:sz w:val="18"/>
                <w:szCs w:val="18"/>
              </w:rPr>
              <w:t xml:space="preserve">File</w:t>
            </w:r>
          </w:p>
        </w:tc>
        <w:tc>
          <w:tcPr>
            <w:tcW w:type="dxa" w:w="75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server/auth.py</w:t>
            </w:r>
          </w:p>
        </w:tc>
        <w:tc>
          <w:tcPr>
            <w:tcW w:type="dxa" w:w="7540"/>
            <w:tcMar>
              <w:top w:type="dxa" w:w="60"/>
              <w:left w:type="dxa" w:w="110"/>
              <w:bottom w:type="dxa" w:w="60"/>
              <w:right w:type="dxa" w:w="110"/>
            </w:tcMar>
          </w:tcPr>
          <w:p>
            <w:pPr>
              <w:spacing w:line="240"/>
            </w:pPr>
            <w:r>
              <w:rPr>
                <w:sz w:val="18"/>
                <w:szCs w:val="18"/>
              </w:rPr>
              <w:t xml:space="preserve">Gateway authentication and bridge administration: generate a Gateway access token from the client credentials, register or update our callback URL with ABDM, and look up which bridge services are registered against us.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server/utils.py</w:t>
            </w:r>
          </w:p>
        </w:tc>
        <w:tc>
          <w:tcPr>
            <w:tcW w:type="dxa" w:w="7540"/>
            <w:tcMar>
              <w:top w:type="dxa" w:w="60"/>
              <w:left w:type="dxa" w:w="110"/>
              <w:bottom w:type="dxa" w:w="60"/>
              <w:right w:type="dxa" w:w="110"/>
            </w:tcMar>
          </w:tcPr>
          <w:p>
            <w:pPr>
              <w:spacing w:line="240"/>
            </w:pPr>
            <w:r>
              <w:rPr>
                <w:sz w:val="18"/>
                <w:szCs w:val="18"/>
              </w:rPr>
              <w:t xml:space="preserve">The plumbing every outbound call uses: generate a request ID, generate an ISO 8601 timestamp, get a cached Gateway token (auto-refreshed when it is within three minutes of expiry), and call_with_retry() — the shared retry wrapper that retries only genuinely transient failures (connection errors, timeouts, 5xx/429/408).</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server/crypto.py</w:t>
            </w:r>
          </w:p>
        </w:tc>
        <w:tc>
          <w:tcPr>
            <w:tcW w:type="dxa" w:w="7540"/>
            <w:tcMar>
              <w:top w:type="dxa" w:w="60"/>
              <w:left w:type="dxa" w:w="110"/>
              <w:bottom w:type="dxa" w:w="60"/>
              <w:right w:type="dxa" w:w="110"/>
            </w:tcMar>
          </w:tcPr>
          <w:p>
            <w:pPr>
              <w:spacing w:line="240"/>
            </w:pPr>
            <w:r>
              <w:rPr>
                <w:sz w:val="18"/>
                <w:szCs w:val="18"/>
              </w:rPr>
              <w:t xml:space="preserve">ABDM's public certificate (downloaded, cached with a TTL) and RSA-OAEP encryption. Used to encrypt Aadhaar numbers, ABHA numbers and OTP values — identity data, not health data.</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server/fidelius_crypto.py</w:t>
            </w:r>
          </w:p>
        </w:tc>
        <w:tc>
          <w:tcPr>
            <w:tcW w:type="dxa" w:w="7540"/>
            <w:tcMar>
              <w:top w:type="dxa" w:w="60"/>
              <w:left w:type="dxa" w:w="110"/>
              <w:bottom w:type="dxa" w:w="60"/>
              <w:right w:type="dxa" w:w="110"/>
            </w:tcMar>
          </w:tcPr>
          <w:p>
            <w:pPr>
              <w:spacing w:line="240"/>
            </w:pPr>
            <w:r>
              <w:rPr>
                <w:sz w:val="18"/>
                <w:szCs w:val="18"/>
              </w:rPr>
              <w:t xml:space="preserve">A pure-Python implementation of ABDM's Fidelius scheme — Curve25519 ECDH key exchange, HKDF key derivation, AES-GCM encryption — used to encrypt and decrypt actual health records in transit. Completely separate from crypto.py; the two solve different problems. Verified against ABDM's own published test vector.</w:t>
            </w:r>
          </w:p>
        </w:tc>
      </w:tr>
    </w:tbl>
    <w:p>
      <w:pPr>
        <w:pStyle w:val="Heading2"/>
        <w:spacing w:after="60" w:before="240"/>
      </w:pPr>
      <w:r>
        <w:rPr>
          <w:b/>
          <w:bCs/>
          <w:color w:val="0E6E5C"/>
          <w:sz w:val="23"/>
          <w:szCs w:val="23"/>
        </w:rPr>
        <w:t xml:space="preserve">4.3 Outbound ABDM calls — one module per area</w:t>
      </w:r>
    </w:p>
    <w:p>
      <w:pPr>
        <w:spacing w:after="120" w:line="268"/>
      </w:pPr>
      <w:r>
        <w:rPr>
          <w:color w:val="222222"/>
          <w:sz w:val="20"/>
          <w:szCs w:val="20"/>
        </w:rPr>
        <w:t xml:space="preserve">These are the functions that call ABDM. Each mirrors one documented API area, and almost every call here returns 202 with the real result arriving later via a callback.</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540"/>
      </w:tblGrid>
      <w:tr>
        <w:trPr>
          <w:tblHeader/>
        </w:trPr>
        <w:tc>
          <w:tcPr>
            <w:tcW w:type="dxa" w:w="2900"/>
            <w:shd w:fill="F2F5F7" w:color="auto" w:val="clear"/>
            <w:tcMar>
              <w:top w:type="dxa" w:w="60"/>
              <w:left w:type="dxa" w:w="110"/>
              <w:bottom w:type="dxa" w:w="60"/>
              <w:right w:type="dxa" w:w="110"/>
            </w:tcMar>
          </w:tcPr>
          <w:p>
            <w:r>
              <w:rPr>
                <w:b/>
                <w:bCs/>
                <w:color w:val="1F3A5F"/>
                <w:sz w:val="18"/>
                <w:szCs w:val="18"/>
              </w:rPr>
              <w:t xml:space="preserve">File</w:t>
            </w:r>
          </w:p>
        </w:tc>
        <w:tc>
          <w:tcPr>
            <w:tcW w:type="dxa" w:w="75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server/abha.py</w:t>
            </w:r>
          </w:p>
        </w:tc>
        <w:tc>
          <w:tcPr>
            <w:tcW w:type="dxa" w:w="7540"/>
            <w:tcMar>
              <w:top w:type="dxa" w:w="60"/>
              <w:left w:type="dxa" w:w="110"/>
              <w:bottom w:type="dxa" w:w="60"/>
              <w:right w:type="dxa" w:w="110"/>
            </w:tcMar>
          </w:tcPr>
          <w:p>
            <w:pPr>
              <w:spacing w:line="240"/>
            </w:pPr>
            <w:r>
              <w:rPr>
                <w:sz w:val="18"/>
                <w:szCs w:val="18"/>
              </w:rPr>
              <w:t xml:space="preserve">All of M1: request and verify OTPs, enroll a new ABHA via Aadhaar, create an ABHA address, request email verification, verify a selected user, search accounts by mobile or address, and retrieve profile, QR code and ABHA card.</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server/linking.py</w:t>
            </w:r>
          </w:p>
        </w:tc>
        <w:tc>
          <w:tcPr>
            <w:tcW w:type="dxa" w:w="7540"/>
            <w:tcMar>
              <w:top w:type="dxa" w:w="60"/>
              <w:left w:type="dxa" w:w="110"/>
              <w:bottom w:type="dxa" w:w="60"/>
              <w:right w:type="dxa" w:w="110"/>
            </w:tcMar>
          </w:tcPr>
          <w:p>
            <w:pPr>
              <w:spacing w:line="240"/>
            </w:pPr>
            <w:r>
              <w:rPr>
                <w:sz w:val="18"/>
                <w:szCs w:val="18"/>
              </w:rPr>
              <w:t xml:space="preserve">The three acknowledgements the HIP sends back during patient-initiated linking: on-discover (here are the matching records), on-init (OTP sent, here is my link reference), on-confirm (link complete).</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server/hip_linking.py</w:t>
            </w:r>
          </w:p>
        </w:tc>
        <w:tc>
          <w:tcPr>
            <w:tcW w:type="dxa" w:w="7540"/>
            <w:tcMar>
              <w:top w:type="dxa" w:w="60"/>
              <w:left w:type="dxa" w:w="110"/>
              <w:bottom w:type="dxa" w:w="60"/>
              <w:right w:type="dxa" w:w="110"/>
            </w:tcMar>
          </w:tcPr>
          <w:p>
            <w:pPr>
              <w:spacing w:line="240"/>
            </w:pPr>
            <w:r>
              <w:rPr>
                <w:sz w:val="18"/>
                <w:szCs w:val="18"/>
              </w:rPr>
              <w:t xml:space="preserve">HIP-Initiated Linking: request a link token, link care contexts using it, notify ABDM when new care contexts appear for an already-linked patient, and ask ABDM to SMS the patient. Also holds the link-token reuse rule (a saved token is reused only for the same patient at the same facility) and the check that recognises ABDM's "already linked" response.</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server/healthinformation.py</w:t>
            </w:r>
          </w:p>
        </w:tc>
        <w:tc>
          <w:tcPr>
            <w:tcW w:type="dxa" w:w="7540"/>
            <w:tcMar>
              <w:top w:type="dxa" w:w="60"/>
              <w:left w:type="dxa" w:w="110"/>
              <w:bottom w:type="dxa" w:w="60"/>
              <w:right w:type="dxa" w:w="110"/>
            </w:tcMar>
          </w:tcPr>
          <w:p>
            <w:pPr>
              <w:spacing w:line="240"/>
            </w:pPr>
            <w:r>
              <w:rPr>
                <w:sz w:val="18"/>
                <w:szCs w:val="18"/>
              </w:rPr>
              <w:t xml:space="preserve">The HIP side of data flow: acknowledge a consent notification, acknowledge a data request, push encrypted records directly to the HIU's own dataPushUrl, and notify ABDM of the transfer outcome. That last function is shared by both roles.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server/hiu_consent.py</w:t>
            </w:r>
          </w:p>
        </w:tc>
        <w:tc>
          <w:tcPr>
            <w:tcW w:type="dxa" w:w="7540"/>
            <w:tcMar>
              <w:top w:type="dxa" w:w="60"/>
              <w:left w:type="dxa" w:w="110"/>
              <w:bottom w:type="dxa" w:w="60"/>
              <w:right w:type="dxa" w:w="110"/>
            </w:tcMar>
          </w:tcPr>
          <w:p>
            <w:pPr>
              <w:spacing w:line="240"/>
            </w:pPr>
            <w:r>
              <w:rPr>
                <w:sz w:val="18"/>
                <w:szCs w:val="18"/>
              </w:rPr>
              <w:t xml:space="preserve">The HIU side of consent: initiate a consent request, acknowledge the notify callback, and fetch the full consent artefact once it is granted.</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server/hiu_health_information.py</w:t>
            </w:r>
          </w:p>
        </w:tc>
        <w:tc>
          <w:tcPr>
            <w:tcW w:type="dxa" w:w="7540"/>
            <w:tcMar>
              <w:top w:type="dxa" w:w="60"/>
              <w:left w:type="dxa" w:w="110"/>
              <w:bottom w:type="dxa" w:w="60"/>
              <w:right w:type="dxa" w:w="110"/>
            </w:tcMar>
          </w:tcPr>
          <w:p>
            <w:pPr>
              <w:spacing w:line="240"/>
            </w:pPr>
            <w:r>
              <w:rPr>
                <w:sz w:val="18"/>
                <w:szCs w:val="18"/>
              </w:rPr>
              <w:t xml:space="preserve">The HIU side of data flow: generate fresh ECDH key material for the transaction, check locally that the consent is GRANTED and that the requested date range sits inside the consent's approved range, then fire the request. The two local checks each raise their own named error rather than wasting a round trip.</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server/facility.py</w:t>
            </w:r>
          </w:p>
        </w:tc>
        <w:tc>
          <w:tcPr>
            <w:tcW w:type="dxa" w:w="7540"/>
            <w:tcMar>
              <w:top w:type="dxa" w:w="60"/>
              <w:left w:type="dxa" w:w="110"/>
              <w:bottom w:type="dxa" w:w="60"/>
              <w:right w:type="dxa" w:w="110"/>
            </w:tcMar>
          </w:tcPr>
          <w:p>
            <w:pPr>
              <w:spacing w:line="240"/>
            </w:pPr>
            <w:r>
              <w:rPr>
                <w:sz w:val="18"/>
                <w:szCs w:val="18"/>
              </w:rPr>
              <w:t xml:space="preserve">Registers our bridge as an HIP/HIU service against a facility in ABDM's Health Facility Registry. Note this is a different ABDM host and endpoint from the Gateway's own bridge-service registration, despite the similar name.</w:t>
            </w:r>
          </w:p>
        </w:tc>
      </w:tr>
    </w:tbl>
    <w:p>
      <w:pPr>
        <w:pStyle w:val="Heading2"/>
        <w:spacing w:after="60" w:before="240"/>
      </w:pPr>
      <w:r>
        <w:rPr>
          <w:b/>
          <w:bCs/>
          <w:color w:val="0E6E5C"/>
          <w:sz w:val="23"/>
          <w:szCs w:val="23"/>
        </w:rPr>
        <w:t xml:space="preserve">4.4 The inbound callback layer</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540"/>
      </w:tblGrid>
      <w:tr>
        <w:trPr>
          <w:tblHeader/>
        </w:trPr>
        <w:tc>
          <w:tcPr>
            <w:tcW w:type="dxa" w:w="2900"/>
            <w:shd w:fill="F2F5F7" w:color="auto" w:val="clear"/>
            <w:tcMar>
              <w:top w:type="dxa" w:w="60"/>
              <w:left w:type="dxa" w:w="110"/>
              <w:bottom w:type="dxa" w:w="60"/>
              <w:right w:type="dxa" w:w="110"/>
            </w:tcMar>
          </w:tcPr>
          <w:p>
            <w:r>
              <w:rPr>
                <w:b/>
                <w:bCs/>
                <w:color w:val="1F3A5F"/>
                <w:sz w:val="18"/>
                <w:szCs w:val="18"/>
              </w:rPr>
              <w:t xml:space="preserve">File</w:t>
            </w:r>
          </w:p>
        </w:tc>
        <w:tc>
          <w:tcPr>
            <w:tcW w:type="dxa" w:w="75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server/callbacks/router.py</w:t>
            </w:r>
          </w:p>
        </w:tc>
        <w:tc>
          <w:tcPr>
            <w:tcW w:type="dxa" w:w="7540"/>
            <w:tcMar>
              <w:top w:type="dxa" w:w="60"/>
              <w:left w:type="dxa" w:w="110"/>
              <w:bottom w:type="dxa" w:w="60"/>
              <w:right w:type="dxa" w:w="110"/>
            </w:tcMar>
          </w:tcPr>
          <w:p>
            <w:pPr>
              <w:spacing w:line="240"/>
            </w:pPr>
            <w:r>
              <w:rPr>
                <w:sz w:val="18"/>
                <w:szCs w:val="18"/>
              </w:rPr>
              <w:t xml:space="preserve">The URL map — the 14 paths ABDM is allowed to call us on. Every route carries one shared dependency that verifies ABDM's JWT before the route body runs, then hands straight to the dispatcher and returns success.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server/callbacks/dispatcher.py</w:t>
            </w:r>
          </w:p>
        </w:tc>
        <w:tc>
          <w:tcPr>
            <w:tcW w:type="dxa" w:w="7540"/>
            <w:tcMar>
              <w:top w:type="dxa" w:w="60"/>
              <w:left w:type="dxa" w:w="110"/>
              <w:bottom w:type="dxa" w:w="60"/>
              <w:right w:type="dxa" w:w="110"/>
            </w:tcMar>
          </w:tcPr>
          <w:p>
            <w:pPr>
              <w:spacing w:line="240"/>
            </w:pPr>
            <w:r>
              <w:rPr>
                <w:sz w:val="18"/>
                <w:szCs w:val="18"/>
              </w:rPr>
              <w:t xml:space="preserve">One funnel for every callback. Assigns a short correlation ID, tags the log category (m2 or m3 based on callback type), archives the raw payload to disk, records the full exchange in the API capture log, then calls the right service. It never raises: ABDM always gets its acknowledgement even if our own processing fails.</w:t>
            </w:r>
          </w:p>
        </w:tc>
      </w:tr>
      <w:tr>
        <w:tc>
          <w:tcPr>
            <w:tcW w:type="dxa" w:w="2900"/>
            <w:tcMar>
              <w:top w:type="dxa" w:w="60"/>
              <w:left w:type="dxa" w:w="110"/>
              <w:bottom w:type="dxa" w:w="60"/>
              <w:right w:type="dxa" w:w="110"/>
            </w:tcMar>
          </w:tcPr>
          <w:p>
            <w:r>
              <w:rPr>
                <w:rFonts w:ascii="Consolas" w:cs="Consolas" w:eastAsia="Consolas" w:hAnsi="Consolas"/>
                <w:color w:val="0B4F6C"/>
                <w:sz w:val="17"/>
                <w:szCs w:val="17"/>
              </w:rPr>
              <w:t xml:space="preserve">server/callbacks/handlers/*.py</w:t>
            </w:r>
          </w:p>
        </w:tc>
        <w:tc>
          <w:tcPr>
            <w:tcW w:type="dxa" w:w="7540"/>
            <w:tcMar>
              <w:top w:type="dxa" w:w="60"/>
              <w:left w:type="dxa" w:w="110"/>
              <w:bottom w:type="dxa" w:w="60"/>
              <w:right w:type="dxa" w:w="110"/>
            </w:tcMar>
          </w:tcPr>
          <w:p>
            <w:pPr>
              <w:spacing w:line="240"/>
            </w:pPr>
            <w:r>
              <w:rPr>
                <w:sz w:val="18"/>
                <w:szCs w:val="18"/>
              </w:rPr>
              <w:t xml:space="preserve">Fourteen one-line adapters mapping a callback type to its service function. No logic — they exist purely to keep the dispatcher's import list flat.</w:t>
            </w:r>
          </w:p>
        </w:tc>
      </w:tr>
    </w:tbl>
    <w:p>
      <w:pPr>
        <w:pStyle w:val="Heading2"/>
        <w:spacing w:after="60" w:before="240"/>
      </w:pPr>
      <w:r>
        <w:rPr>
          <w:b/>
          <w:bCs/>
          <w:color w:val="0E6E5C"/>
          <w:sz w:val="23"/>
          <w:szCs w:val="23"/>
        </w:rPr>
        <w:t xml:space="preserve">4.5 Callback services — where the real logic lives</w:t>
      </w:r>
    </w:p>
    <w:p>
      <w:pPr>
        <w:spacing w:after="120" w:line="268"/>
      </w:pPr>
      <w:r>
        <w:rPr>
          <w:color w:val="222222"/>
          <w:sz w:val="20"/>
          <w:szCs w:val="20"/>
        </w:rPr>
        <w:t xml:space="preserve">One per callback. These are the files to read when you want to know what actually happens when ABDM calls us.</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040"/>
      </w:tblGrid>
      <w:tr>
        <w:trPr>
          <w:tblHeader/>
        </w:trPr>
        <w:tc>
          <w:tcPr>
            <w:tcW w:type="dxa" w:w="3400"/>
            <w:shd w:fill="F2F5F7" w:color="auto" w:val="clear"/>
            <w:tcMar>
              <w:top w:type="dxa" w:w="60"/>
              <w:left w:type="dxa" w:w="110"/>
              <w:bottom w:type="dxa" w:w="60"/>
              <w:right w:type="dxa" w:w="110"/>
            </w:tcMar>
          </w:tcPr>
          <w:p>
            <w:r>
              <w:rPr>
                <w:b/>
                <w:bCs/>
                <w:color w:val="1F3A5F"/>
                <w:sz w:val="18"/>
                <w:szCs w:val="18"/>
              </w:rPr>
              <w:t xml:space="preserve">File</w:t>
            </w:r>
          </w:p>
        </w:tc>
        <w:tc>
          <w:tcPr>
            <w:tcW w:type="dxa" w:w="70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discover_service.py</w:t>
            </w:r>
          </w:p>
        </w:tc>
        <w:tc>
          <w:tcPr>
            <w:tcW w:type="dxa" w:w="7040"/>
            <w:tcMar>
              <w:top w:type="dxa" w:w="60"/>
              <w:left w:type="dxa" w:w="110"/>
              <w:bottom w:type="dxa" w:w="60"/>
              <w:right w:type="dxa" w:w="110"/>
            </w:tcMar>
          </w:tcPr>
          <w:p>
            <w:pPr>
              <w:spacing w:line="240"/>
            </w:pPr>
            <w:r>
              <w:rPr>
                <w:sz w:val="18"/>
                <w:szCs w:val="18"/>
              </w:rPr>
              <w:t xml:space="preserve">ABDM asks "do you have records for this patient?". Extracts and stores the patient's identifiers (this is ABDM's own verified name/gender/year-of-birth, treated as authoritative), searches our records, and answers with whatever matched — or a clean "no match".</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link_init_service.py</w:t>
            </w:r>
          </w:p>
        </w:tc>
        <w:tc>
          <w:tcPr>
            <w:tcW w:type="dxa" w:w="7040"/>
            <w:tcMar>
              <w:top w:type="dxa" w:w="60"/>
              <w:left w:type="dxa" w:w="110"/>
              <w:bottom w:type="dxa" w:w="60"/>
              <w:right w:type="dxa" w:w="110"/>
            </w:tcMar>
          </w:tcPr>
          <w:p>
            <w:pPr>
              <w:spacing w:line="240"/>
            </w:pPr>
            <w:r>
              <w:rPr>
                <w:sz w:val="18"/>
                <w:szCs w:val="18"/>
              </w:rPr>
              <w:t xml:space="preserve">The patient chose to link records. Requests an OTP to the patient's mobile, saves a link session keyed by a reference number we generate, and tells ABDM the OTP is on its way. Handles ABDM replaying the same message by re-sending the acknowledgement without triggering a second OTP.</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link_confirm_service.py</w:t>
            </w:r>
          </w:p>
        </w:tc>
        <w:tc>
          <w:tcPr>
            <w:tcW w:type="dxa" w:w="7040"/>
            <w:tcMar>
              <w:top w:type="dxa" w:w="60"/>
              <w:left w:type="dxa" w:w="110"/>
              <w:bottom w:type="dxa" w:w="60"/>
              <w:right w:type="dxa" w:w="110"/>
            </w:tcMar>
          </w:tcPr>
          <w:p>
            <w:pPr>
              <w:spacing w:line="240"/>
            </w:pPr>
            <w:r>
              <w:rPr>
                <w:sz w:val="18"/>
                <w:szCs w:val="18"/>
              </w:rPr>
              <w:t xml:space="preserve">The patient submitted the OTP. Validates the session, checks the OTP window has not expired, verifies the OTP, re-derives the selected records and confirms the link to ABDM.</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otp_service.py</w:t>
            </w:r>
          </w:p>
        </w:tc>
        <w:tc>
          <w:tcPr>
            <w:tcW w:type="dxa" w:w="7040"/>
            <w:tcMar>
              <w:top w:type="dxa" w:w="60"/>
              <w:left w:type="dxa" w:w="110"/>
              <w:bottom w:type="dxa" w:w="60"/>
              <w:right w:type="dxa" w:w="110"/>
            </w:tcMar>
          </w:tcPr>
          <w:p>
            <w:pPr>
              <w:spacing w:line="240"/>
            </w:pPr>
            <w:r>
              <w:rPr>
                <w:sz w:val="18"/>
                <w:szCs w:val="18"/>
              </w:rPr>
              <w:t xml:space="preserve">Thin helper that verifies a submitted OTP against its transaction ID.</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generate_token_service.py</w:t>
            </w:r>
          </w:p>
        </w:tc>
        <w:tc>
          <w:tcPr>
            <w:tcW w:type="dxa" w:w="7040"/>
            <w:tcMar>
              <w:top w:type="dxa" w:w="60"/>
              <w:left w:type="dxa" w:w="110"/>
              <w:bottom w:type="dxa" w:w="60"/>
              <w:right w:type="dxa" w:w="110"/>
            </w:tcMar>
          </w:tcPr>
          <w:p>
            <w:pPr>
              <w:spacing w:line="240"/>
            </w:pPr>
            <w:r>
              <w:rPr>
                <w:sz w:val="18"/>
                <w:szCs w:val="18"/>
              </w:rPr>
              <w:t xml:space="preserve">ABDM delivered a link token for HIP-Initiated Linking. Saves the token against (patient, facility), pulls the care contexts that were selected, and immediately fires the care-context link call — this is the automatic hand-off in the middle of that flow.</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care_context_link_service.py</w:t>
            </w:r>
          </w:p>
        </w:tc>
        <w:tc>
          <w:tcPr>
            <w:tcW w:type="dxa" w:w="7040"/>
            <w:tcMar>
              <w:top w:type="dxa" w:w="60"/>
              <w:left w:type="dxa" w:w="110"/>
              <w:bottom w:type="dxa" w:w="60"/>
              <w:right w:type="dxa" w:w="110"/>
            </w:tcMar>
          </w:tcPr>
          <w:p>
            <w:pPr>
              <w:spacing w:line="240"/>
            </w:pPr>
            <w:r>
              <w:rPr>
                <w:sz w:val="18"/>
                <w:szCs w:val="18"/>
              </w:rPr>
              <w:t xml:space="preserve">ABDM confirmed the care-context link result. On success it loops through the linked care contexts and sends a Notify Care Context Update for each. If some fail, only the failed subset stays pending so a later redelivery can retry just those.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care_context_notify_service.py</w:t>
            </w:r>
          </w:p>
        </w:tc>
        <w:tc>
          <w:tcPr>
            <w:tcW w:type="dxa" w:w="7040"/>
            <w:tcMar>
              <w:top w:type="dxa" w:w="60"/>
              <w:left w:type="dxa" w:w="110"/>
              <w:bottom w:type="dxa" w:w="60"/>
              <w:right w:type="dxa" w:w="110"/>
            </w:tcMar>
          </w:tcPr>
          <w:p>
            <w:pPr>
              <w:spacing w:line="240"/>
            </w:pPr>
            <w:r>
              <w:rPr>
                <w:sz w:val="18"/>
                <w:szCs w:val="18"/>
              </w:rPr>
              <w:t xml:space="preserve">ABDM acknowledged the notify. Handles one specific known failure — ABDM-1006, a confirmed timing race where ABDM has not finished propagating the link — by waiting five seconds and retrying once.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consent_notify_service.py</w:t>
            </w:r>
          </w:p>
        </w:tc>
        <w:tc>
          <w:tcPr>
            <w:tcW w:type="dxa" w:w="7040"/>
            <w:tcMar>
              <w:top w:type="dxa" w:w="60"/>
              <w:left w:type="dxa" w:w="110"/>
              <w:bottom w:type="dxa" w:w="60"/>
              <w:right w:type="dxa" w:w="110"/>
            </w:tcMar>
          </w:tcPr>
          <w:p>
            <w:pPr>
              <w:spacing w:line="240"/>
            </w:pPr>
            <w:r>
              <w:rPr>
                <w:sz w:val="18"/>
                <w:szCs w:val="18"/>
              </w:rPr>
              <w:t xml:space="preserve">A consent's status changed. On GRANTED it stores the approved care contexts, HI types and date range; on REVOKED or EXPIRED it deletes the stored artefact; then acknowledges either way.</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health_information_request_service.py</w:t>
            </w:r>
          </w:p>
        </w:tc>
        <w:tc>
          <w:tcPr>
            <w:tcW w:type="dxa" w:w="7040"/>
            <w:tcMar>
              <w:top w:type="dxa" w:w="60"/>
              <w:left w:type="dxa" w:w="110"/>
              <w:bottom w:type="dxa" w:w="60"/>
              <w:right w:type="dxa" w:w="110"/>
            </w:tcMar>
          </w:tcPr>
          <w:p>
            <w:pPr>
              <w:spacing w:line="240"/>
            </w:pPr>
            <w:r>
              <w:rPr>
                <w:sz w:val="18"/>
                <w:szCs w:val="18"/>
              </w:rPr>
              <w:t xml:space="preserve">The HIU wants the data. Assembles a FHIR bundle per approved care context, generates fresh key material, encrypts each bundle for that HIU, checksums it, acknowledges the request, then pushes the encrypted payload and notifies ABDM of the outcome.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health_information_data_service.py</w:t>
            </w:r>
          </w:p>
        </w:tc>
        <w:tc>
          <w:tcPr>
            <w:tcW w:type="dxa" w:w="7040"/>
            <w:tcMar>
              <w:top w:type="dxa" w:w="60"/>
              <w:left w:type="dxa" w:w="110"/>
              <w:bottom w:type="dxa" w:w="60"/>
              <w:right w:type="dxa" w:w="110"/>
            </w:tcMar>
          </w:tcPr>
          <w:p>
            <w:pPr>
              <w:spacing w:line="240"/>
            </w:pPr>
            <w:r>
              <w:rPr>
                <w:sz w:val="18"/>
                <w:szCs w:val="18"/>
              </w:rPr>
              <w:t xml:space="preserve">The bundle assembly itself: given consented care-context references and a date range, it pulls the underlying clinical rows, filters them to the consented window, and builds one FHIR document bundle per care context — including file attachments, which follow different FHIR patterns per HI type.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sms_notify_service.py</w:t>
            </w:r>
          </w:p>
        </w:tc>
        <w:tc>
          <w:tcPr>
            <w:tcW w:type="dxa" w:w="7040"/>
            <w:tcMar>
              <w:top w:type="dxa" w:w="60"/>
              <w:left w:type="dxa" w:w="110"/>
              <w:bottom w:type="dxa" w:w="60"/>
              <w:right w:type="dxa" w:w="110"/>
            </w:tcMar>
          </w:tcPr>
          <w:p>
            <w:pPr>
              <w:spacing w:line="240"/>
            </w:pPr>
            <w:r>
              <w:rPr>
                <w:sz w:val="18"/>
                <w:szCs w:val="18"/>
              </w:rPr>
              <w:t xml:space="preserve">Logs ABDM's acknowledgement of an SMS notification. No further action.</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consent_init_on_init_service.py</w:t>
            </w:r>
          </w:p>
        </w:tc>
        <w:tc>
          <w:tcPr>
            <w:tcW w:type="dxa" w:w="7040"/>
            <w:tcMar>
              <w:top w:type="dxa" w:w="60"/>
              <w:left w:type="dxa" w:w="110"/>
              <w:bottom w:type="dxa" w:w="60"/>
              <w:right w:type="dxa" w:w="110"/>
            </w:tcMar>
          </w:tcPr>
          <w:p>
            <w:pPr>
              <w:spacing w:line="240"/>
            </w:pPr>
            <w:r>
              <w:rPr>
                <w:sz w:val="18"/>
                <w:szCs w:val="18"/>
              </w:rPr>
              <w:t xml:space="preserve">HIU side: ABDM acknowledged our consent request and told us its real consent-request ID. Records that ID against our pending session so the later notify callback can be matched back. Nothing else happens — it waits for the patient.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consent_hiu_notify_service.py</w:t>
            </w:r>
          </w:p>
        </w:tc>
        <w:tc>
          <w:tcPr>
            <w:tcW w:type="dxa" w:w="7040"/>
            <w:tcMar>
              <w:top w:type="dxa" w:w="60"/>
              <w:left w:type="dxa" w:w="110"/>
              <w:bottom w:type="dxa" w:w="60"/>
              <w:right w:type="dxa" w:w="110"/>
            </w:tcMar>
          </w:tcPr>
          <w:p>
            <w:pPr>
              <w:spacing w:line="240"/>
            </w:pPr>
            <w:r>
              <w:rPr>
                <w:sz w:val="18"/>
                <w:szCs w:val="18"/>
              </w:rPr>
              <w:t xml:space="preserve">HIU side: the patient acted on our consent request. On GRANTED it fetches each granted artefact (there can be more than one); on REVOKED or EXPIRED it deletes the stored artefacts; then acknowledges.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consent_hiu_on_fetch_service.py</w:t>
            </w:r>
          </w:p>
        </w:tc>
        <w:tc>
          <w:tcPr>
            <w:tcW w:type="dxa" w:w="7040"/>
            <w:tcMar>
              <w:top w:type="dxa" w:w="60"/>
              <w:left w:type="dxa" w:w="110"/>
              <w:bottom w:type="dxa" w:w="60"/>
              <w:right w:type="dxa" w:w="110"/>
            </w:tcMar>
          </w:tcPr>
          <w:p>
            <w:pPr>
              <w:spacing w:line="240"/>
            </w:pPr>
            <w:r>
              <w:rPr>
                <w:sz w:val="18"/>
                <w:szCs w:val="18"/>
              </w:rPr>
              <w:t xml:space="preserve">HIU side: the full consent artefact arrived. Before storing it, it checks the callback actually correlates back to a fetch we ourselves made for that exact consent ID — an unsolicited or mismatched artefact is rejected. Then optionally triggers the data request.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health_information_trigger.py</w:t>
            </w:r>
          </w:p>
        </w:tc>
        <w:tc>
          <w:tcPr>
            <w:tcW w:type="dxa" w:w="7040"/>
            <w:tcMar>
              <w:top w:type="dxa" w:w="60"/>
              <w:left w:type="dxa" w:w="110"/>
              <w:bottom w:type="dxa" w:w="60"/>
              <w:right w:type="dxa" w:w="110"/>
            </w:tcMar>
          </w:tcPr>
          <w:p>
            <w:pPr>
              <w:spacing w:line="240"/>
            </w:pPr>
            <w:r>
              <w:rPr>
                <w:sz w:val="18"/>
                <w:szCs w:val="18"/>
              </w:rPr>
              <w:t xml:space="preserve">The deliberate decision point between consent and data. Reads HEALTH_INFORMATION_TRIGGER_MODE: "manual" (today's default — do nothing, the CLI drives it), "auto" (immediately request the data), or "cache_first" (reserved, currently behaves as manual).</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health_information_hiu_on_request_service.py</w:t>
            </w:r>
          </w:p>
        </w:tc>
        <w:tc>
          <w:tcPr>
            <w:tcW w:type="dxa" w:w="7040"/>
            <w:tcMar>
              <w:top w:type="dxa" w:w="60"/>
              <w:left w:type="dxa" w:w="110"/>
              <w:bottom w:type="dxa" w:w="60"/>
              <w:right w:type="dxa" w:w="110"/>
            </w:tcMar>
          </w:tcPr>
          <w:p>
            <w:pPr>
              <w:spacing w:line="240"/>
            </w:pPr>
            <w:r>
              <w:rPr>
                <w:sz w:val="18"/>
                <w:szCs w:val="18"/>
              </w:rPr>
              <w:t xml:space="preserve">HIU side: ABDM acknowledged our data request and gave us the transaction ID. Records it against the pending session, and refuses to relink a transaction ID already bound to a different request — that would cross two sessions' encryption keys.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health_information_hiu_push_service.py</w:t>
            </w:r>
          </w:p>
        </w:tc>
        <w:tc>
          <w:tcPr>
            <w:tcW w:type="dxa" w:w="7040"/>
            <w:tcMar>
              <w:top w:type="dxa" w:w="60"/>
              <w:left w:type="dxa" w:w="110"/>
              <w:bottom w:type="dxa" w:w="60"/>
              <w:right w:type="dxa" w:w="110"/>
            </w:tcMar>
          </w:tcPr>
          <w:p>
            <w:pPr>
              <w:spacing w:line="240"/>
            </w:pPr>
            <w:r>
              <w:rPr>
                <w:sz w:val="18"/>
                <w:szCs w:val="18"/>
              </w:rPr>
              <w:t xml:space="preserve">HIU side: the HIP pushed encrypted records straight to our dataPushUrl, bypassing the gateway. Verifies each entry's checksum, checks the care context was actually covered by the consent, decrypts it with our stored key material, stores the result, and notifies ABDM of the outcome.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transformers/patient_transformer.py</w:t>
            </w:r>
          </w:p>
        </w:tc>
        <w:tc>
          <w:tcPr>
            <w:tcW w:type="dxa" w:w="7040"/>
            <w:tcMar>
              <w:top w:type="dxa" w:w="60"/>
              <w:left w:type="dxa" w:w="110"/>
              <w:bottom w:type="dxa" w:w="60"/>
              <w:right w:type="dxa" w:w="110"/>
            </w:tcMar>
          </w:tcPr>
          <w:p>
            <w:pPr>
              <w:spacing w:line="240"/>
            </w:pPr>
            <w:r>
              <w:rPr>
                <w:sz w:val="18"/>
                <w:szCs w:val="18"/>
              </w:rPr>
              <w:t xml:space="preserve">Reshapes raw record rows into ABDM's patient payload format, grouped by patient reference and HI type. Used by discover, link-confirm and HIP-initiated linking alike.</w:t>
            </w:r>
          </w:p>
        </w:tc>
      </w:tr>
    </w:tbl>
    <w:p>
      <w:pPr>
        <w:pStyle w:val="Heading2"/>
        <w:spacing w:after="60" w:before="240"/>
      </w:pPr>
      <w:r>
        <w:rPr>
          <w:b/>
          <w:bCs/>
          <w:color w:val="0E6E5C"/>
          <w:sz w:val="23"/>
          <w:szCs w:val="23"/>
        </w:rPr>
        <w:t xml:space="preserve">4.6 State stores (repositories)</w:t>
      </w:r>
    </w:p>
    <w:p>
      <w:pPr>
        <w:spacing w:after="120" w:line="268"/>
      </w:pPr>
      <w:r>
        <w:rPr>
          <w:color w:val="222222"/>
          <w:sz w:val="20"/>
          <w:szCs w:val="20"/>
        </w:rPr>
        <w:t xml:space="preserve">Every one of these exists because a flow spans multiple HTTP exchanges and something has to remember the middle of it. All are Postgres-backed now; each exposes the same small get/save/delete interface it had when it was file-backed, so nothing outside these files changed during the migration.</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040"/>
      </w:tblGrid>
      <w:tr>
        <w:trPr>
          <w:tblHeader/>
        </w:trPr>
        <w:tc>
          <w:tcPr>
            <w:tcW w:type="dxa" w:w="3400"/>
            <w:shd w:fill="F2F5F7" w:color="auto" w:val="clear"/>
            <w:tcMar>
              <w:top w:type="dxa" w:w="60"/>
              <w:left w:type="dxa" w:w="110"/>
              <w:bottom w:type="dxa" w:w="60"/>
              <w:right w:type="dxa" w:w="110"/>
            </w:tcMar>
          </w:tcPr>
          <w:p>
            <w:r>
              <w:rPr>
                <w:b/>
                <w:bCs/>
                <w:color w:val="1F3A5F"/>
                <w:sz w:val="18"/>
                <w:szCs w:val="18"/>
              </w:rPr>
              <w:t xml:space="preserve">File</w:t>
            </w:r>
          </w:p>
        </w:tc>
        <w:tc>
          <w:tcPr>
            <w:tcW w:type="dxa" w:w="70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patient_identity_repository.py</w:t>
            </w:r>
          </w:p>
        </w:tc>
        <w:tc>
          <w:tcPr>
            <w:tcW w:type="dxa" w:w="7040"/>
            <w:tcMar>
              <w:top w:type="dxa" w:w="60"/>
              <w:left w:type="dxa" w:w="110"/>
              <w:bottom w:type="dxa" w:w="60"/>
              <w:right w:type="dxa" w:w="110"/>
            </w:tcMar>
          </w:tcPr>
          <w:p>
            <w:pPr>
              <w:spacing w:line="240"/>
            </w:pPr>
            <w:r>
              <w:rPr>
                <w:sz w:val="18"/>
                <w:szCs w:val="18"/>
              </w:rPr>
              <w:t xml:space="preserve">Patient identity resolved during Discover, keyed by ABHA address. Consumed by Link Init and Link Confirm.</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link_repository.py</w:t>
            </w:r>
          </w:p>
        </w:tc>
        <w:tc>
          <w:tcPr>
            <w:tcW w:type="dxa" w:w="7040"/>
            <w:tcMar>
              <w:top w:type="dxa" w:w="60"/>
              <w:left w:type="dxa" w:w="110"/>
              <w:bottom w:type="dxa" w:w="60"/>
              <w:right w:type="dxa" w:w="110"/>
            </w:tcMar>
          </w:tcPr>
          <w:p>
            <w:pPr>
              <w:spacing w:line="240"/>
            </w:pPr>
            <w:r>
              <w:rPr>
                <w:sz w:val="18"/>
                <w:szCs w:val="18"/>
              </w:rPr>
              <w:t xml:space="preserve">Patient-initiated linking sessions, keyed by the link reference number we generate, holding the OTP transaction and the records the patient selected.</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link_token_repository.py</w:t>
            </w:r>
          </w:p>
        </w:tc>
        <w:tc>
          <w:tcPr>
            <w:tcW w:type="dxa" w:w="7040"/>
            <w:tcMar>
              <w:top w:type="dxa" w:w="60"/>
              <w:left w:type="dxa" w:w="110"/>
              <w:bottom w:type="dxa" w:w="60"/>
              <w:right w:type="dxa" w:w="110"/>
            </w:tcMar>
          </w:tcPr>
          <w:p>
            <w:pPr>
              <w:spacing w:line="240"/>
            </w:pPr>
            <w:r>
              <w:rPr>
                <w:sz w:val="18"/>
                <w:szCs w:val="18"/>
              </w:rPr>
              <w:t xml:space="preserve">Pending HIP-Initiated link-token requests, so the on-generate-token callback can find its way back.</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patient_link_token_repository.py</w:t>
            </w:r>
          </w:p>
        </w:tc>
        <w:tc>
          <w:tcPr>
            <w:tcW w:type="dxa" w:w="7040"/>
            <w:tcMar>
              <w:top w:type="dxa" w:w="60"/>
              <w:left w:type="dxa" w:w="110"/>
              <w:bottom w:type="dxa" w:w="60"/>
              <w:right w:type="dxa" w:w="110"/>
            </w:tcMar>
          </w:tcPr>
          <w:p>
            <w:pPr>
              <w:spacing w:line="240"/>
            </w:pPr>
            <w:r>
              <w:rPr>
                <w:sz w:val="18"/>
                <w:szCs w:val="18"/>
              </w:rPr>
              <w:t xml:space="preserve">Confirmed link tokens, keyed by patient and facility together. The composite key is deliberate: keying on the patient alone caused a real bug where a token from one facility was silently reused at another.</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care_context_link_repository.py</w:t>
            </w:r>
          </w:p>
        </w:tc>
        <w:tc>
          <w:tcPr>
            <w:tcW w:type="dxa" w:w="7040"/>
            <w:tcMar>
              <w:top w:type="dxa" w:w="60"/>
              <w:left w:type="dxa" w:w="110"/>
              <w:bottom w:type="dxa" w:w="60"/>
              <w:right w:type="dxa" w:w="110"/>
            </w:tcMar>
          </w:tcPr>
          <w:p>
            <w:pPr>
              <w:spacing w:line="240"/>
            </w:pPr>
            <w:r>
              <w:rPr>
                <w:sz w:val="18"/>
                <w:szCs w:val="18"/>
              </w:rPr>
              <w:t xml:space="preserve">What was submitted in a care-context link call, stashed before the call because ABDM's confirmation does not echo it back.</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care_context_notify_repository.py</w:t>
            </w:r>
          </w:p>
        </w:tc>
        <w:tc>
          <w:tcPr>
            <w:tcW w:type="dxa" w:w="7040"/>
            <w:tcMar>
              <w:top w:type="dxa" w:w="60"/>
              <w:left w:type="dxa" w:w="110"/>
              <w:bottom w:type="dxa" w:w="60"/>
              <w:right w:type="dxa" w:w="110"/>
            </w:tcMar>
          </w:tcPr>
          <w:p>
            <w:pPr>
              <w:spacing w:line="240"/>
            </w:pPr>
            <w:r>
              <w:rPr>
                <w:sz w:val="18"/>
                <w:szCs w:val="18"/>
              </w:rPr>
              <w:t xml:space="preserve">The same idea for Notify Care Context Update, and what makes the ABDM-1006 retry possible.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consent_repository.py</w:t>
            </w:r>
          </w:p>
        </w:tc>
        <w:tc>
          <w:tcPr>
            <w:tcW w:type="dxa" w:w="7040"/>
            <w:tcMar>
              <w:top w:type="dxa" w:w="60"/>
              <w:left w:type="dxa" w:w="110"/>
              <w:bottom w:type="dxa" w:w="60"/>
              <w:right w:type="dxa" w:w="110"/>
            </w:tcMar>
          </w:tcPr>
          <w:p>
            <w:pPr>
              <w:spacing w:line="240"/>
            </w:pPr>
            <w:r>
              <w:rPr>
                <w:sz w:val="18"/>
                <w:szCs w:val="18"/>
              </w:rPr>
              <w:t xml:space="preserve">Granted consent artefacts we received as an HIP.</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hiu_consent_repository.py</w:t>
            </w:r>
          </w:p>
        </w:tc>
        <w:tc>
          <w:tcPr>
            <w:tcW w:type="dxa" w:w="7040"/>
            <w:tcMar>
              <w:top w:type="dxa" w:w="60"/>
              <w:left w:type="dxa" w:w="110"/>
              <w:bottom w:type="dxa" w:w="60"/>
              <w:right w:type="dxa" w:w="110"/>
            </w:tcMar>
          </w:tcPr>
          <w:p>
            <w:pPr>
              <w:spacing w:line="240"/>
            </w:pPr>
            <w:r>
              <w:rPr>
                <w:sz w:val="18"/>
                <w:szCs w:val="18"/>
              </w:rPr>
              <w:t xml:space="preserve">Consent artefacts we fetched as an HIU. Kept deliberately separate from the HIP store — and it enforces the project's core security property: a consent is only readable here if our own registration raised and fetched it.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pending_consent_request_repository.py</w:t>
            </w:r>
          </w:p>
        </w:tc>
        <w:tc>
          <w:tcPr>
            <w:tcW w:type="dxa" w:w="7040"/>
            <w:tcMar>
              <w:top w:type="dxa" w:w="60"/>
              <w:left w:type="dxa" w:w="110"/>
              <w:bottom w:type="dxa" w:w="60"/>
              <w:right w:type="dxa" w:w="110"/>
            </w:tcMar>
          </w:tcPr>
          <w:p>
            <w:pPr>
              <w:spacing w:line="240"/>
            </w:pPr>
            <w:r>
              <w:rPr>
                <w:sz w:val="18"/>
                <w:szCs w:val="18"/>
              </w:rPr>
              <w:t xml:space="preserve">Pending HIU consent requests, stored under two keys — our request ID and ABDM's consent-request ID — because different callbacks arrive keyed by different identifiers.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pending_health_information_request_repository.py</w:t>
            </w:r>
          </w:p>
        </w:tc>
        <w:tc>
          <w:tcPr>
            <w:tcW w:type="dxa" w:w="7040"/>
            <w:tcMar>
              <w:top w:type="dxa" w:w="60"/>
              <w:left w:type="dxa" w:w="110"/>
              <w:bottom w:type="dxa" w:w="60"/>
              <w:right w:type="dxa" w:w="110"/>
            </w:tcMar>
          </w:tcPr>
          <w:p>
            <w:pPr>
              <w:spacing w:line="240"/>
            </w:pPr>
            <w:r>
              <w:rPr>
                <w:sz w:val="18"/>
                <w:szCs w:val="18"/>
              </w:rPr>
              <w:t xml:space="preserve">The same two-key pattern for data requests: our request ID and ABDM's transaction ID.</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health_information_repository.py</w:t>
            </w:r>
          </w:p>
        </w:tc>
        <w:tc>
          <w:tcPr>
            <w:tcW w:type="dxa" w:w="7040"/>
            <w:tcMar>
              <w:top w:type="dxa" w:w="60"/>
              <w:left w:type="dxa" w:w="110"/>
              <w:bottom w:type="dxa" w:w="60"/>
              <w:right w:type="dxa" w:w="110"/>
            </w:tcMar>
          </w:tcPr>
          <w:p>
            <w:pPr>
              <w:spacing w:line="240"/>
            </w:pPr>
            <w:r>
              <w:rPr>
                <w:sz w:val="18"/>
                <w:szCs w:val="18"/>
              </w:rPr>
              <w:t xml:space="preserve">HIP-side data-transfer sessions (what we pushed out).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hiu_health_information_repository.py</w:t>
            </w:r>
          </w:p>
        </w:tc>
        <w:tc>
          <w:tcPr>
            <w:tcW w:type="dxa" w:w="7040"/>
            <w:tcMar>
              <w:top w:type="dxa" w:w="60"/>
              <w:left w:type="dxa" w:w="110"/>
              <w:bottom w:type="dxa" w:w="60"/>
              <w:right w:type="dxa" w:w="110"/>
            </w:tcMar>
          </w:tcPr>
          <w:p>
            <w:pPr>
              <w:spacing w:line="240"/>
            </w:pPr>
            <w:r>
              <w:rPr>
                <w:sz w:val="18"/>
                <w:szCs w:val="18"/>
              </w:rPr>
              <w:t xml:space="preserve">HIU-side received data — the decrypted bundles, keyed by transaction ID.</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dummy_emr_repository.py</w:t>
            </w:r>
          </w:p>
        </w:tc>
        <w:tc>
          <w:tcPr>
            <w:tcW w:type="dxa" w:w="7040"/>
            <w:tcMar>
              <w:top w:type="dxa" w:w="60"/>
              <w:left w:type="dxa" w:w="110"/>
              <w:bottom w:type="dxa" w:w="60"/>
              <w:right w:type="dxa" w:w="110"/>
            </w:tcMar>
          </w:tcPr>
          <w:p>
            <w:pPr>
              <w:spacing w:line="240"/>
            </w:pPr>
            <w:r>
              <w:rPr>
                <w:sz w:val="18"/>
                <w:szCs w:val="18"/>
              </w:rPr>
              <w:t xml:space="preserve">The dummy EMR dataset in Postgres: patients, encounters and every clinical child table, plus the denormalised care-context lookup Discover uses. Returns string-shaped dicts identical to what the old CSV reader produced, so callers did not change.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patient_repository.py</w:t>
            </w:r>
          </w:p>
        </w:tc>
        <w:tc>
          <w:tcPr>
            <w:tcW w:type="dxa" w:w="7040"/>
            <w:tcMar>
              <w:top w:type="dxa" w:w="60"/>
              <w:left w:type="dxa" w:w="110"/>
              <w:bottom w:type="dxa" w:w="60"/>
              <w:right w:type="dxa" w:w="110"/>
            </w:tcMar>
          </w:tcPr>
          <w:p>
            <w:pPr>
              <w:spacing w:line="240"/>
            </w:pPr>
            <w:r>
              <w:rPr>
                <w:sz w:val="18"/>
                <w:szCs w:val="18"/>
              </w:rPr>
              <w:t xml:space="preserve">A thin wrapper kept only so existing call sites keep working; the real implementation is in dummy_emr_repository.py.</w:t>
            </w:r>
          </w:p>
        </w:tc>
      </w:tr>
    </w:tbl>
    <w:p>
      <w:pPr>
        <w:pStyle w:val="Heading2"/>
        <w:spacing w:after="60" w:before="240"/>
      </w:pPr>
      <w:r>
        <w:rPr>
          <w:b/>
          <w:bCs/>
          <w:color w:val="0E6E5C"/>
          <w:sz w:val="23"/>
          <w:szCs w:val="23"/>
        </w:rPr>
        <w:t xml:space="preserve">4.7 Cross-cutting utilities</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040"/>
      </w:tblGrid>
      <w:tr>
        <w:trPr>
          <w:tblHeader/>
        </w:trPr>
        <w:tc>
          <w:tcPr>
            <w:tcW w:type="dxa" w:w="3400"/>
            <w:shd w:fill="F2F5F7" w:color="auto" w:val="clear"/>
            <w:tcMar>
              <w:top w:type="dxa" w:w="60"/>
              <w:left w:type="dxa" w:w="110"/>
              <w:bottom w:type="dxa" w:w="60"/>
              <w:right w:type="dxa" w:w="110"/>
            </w:tcMar>
          </w:tcPr>
          <w:p>
            <w:r>
              <w:rPr>
                <w:b/>
                <w:bCs/>
                <w:color w:val="1F3A5F"/>
                <w:sz w:val="18"/>
                <w:szCs w:val="18"/>
              </w:rPr>
              <w:t xml:space="preserve">File</w:t>
            </w:r>
          </w:p>
        </w:tc>
        <w:tc>
          <w:tcPr>
            <w:tcW w:type="dxa" w:w="70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utils/jwt_auth.py</w:t>
            </w:r>
          </w:p>
        </w:tc>
        <w:tc>
          <w:tcPr>
            <w:tcW w:type="dxa" w:w="7040"/>
            <w:tcMar>
              <w:top w:type="dxa" w:w="60"/>
              <w:left w:type="dxa" w:w="110"/>
              <w:bottom w:type="dxa" w:w="60"/>
              <w:right w:type="dxa" w:w="110"/>
            </w:tcMar>
          </w:tcPr>
          <w:p>
            <w:pPr>
              <w:spacing w:line="240"/>
            </w:pPr>
            <w:r>
              <w:rPr>
                <w:sz w:val="18"/>
                <w:szCs w:val="18"/>
              </w:rPr>
              <w:t xml:space="preserve">Verifies the bearer JWT on every inbound callback against ABDM's live JWKS — signature, issuer, expiry, and a sanity check on audience. Without this, anyone who guessed a callback URL could feed the system fabricated payloads.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utils/idempotency.py</w:t>
            </w:r>
          </w:p>
        </w:tc>
        <w:tc>
          <w:tcPr>
            <w:tcW w:type="dxa" w:w="7040"/>
            <w:tcMar>
              <w:top w:type="dxa" w:w="60"/>
              <w:left w:type="dxa" w:w="110"/>
              <w:bottom w:type="dxa" w:w="60"/>
              <w:right w:type="dxa" w:w="110"/>
            </w:tcMar>
          </w:tcPr>
          <w:p>
            <w:pPr>
              <w:spacing w:line="240"/>
            </w:pPr>
            <w:r>
              <w:rPr>
                <w:sz w:val="18"/>
                <w:szCs w:val="18"/>
              </w:rPr>
              <w:t xml:space="preserve">Deduplicates replayed callbacks by (scope, request ID). ABDM retries a callback if it does not get a fast enough acknowledgement, and a genuine retry reuses the same request ID — without this, replaying an old GRANTED notification could resurrect a revoked consent.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utils/flow_logger.py</w:t>
            </w:r>
          </w:p>
        </w:tc>
        <w:tc>
          <w:tcPr>
            <w:tcW w:type="dxa" w:w="7040"/>
            <w:tcMar>
              <w:top w:type="dxa" w:w="60"/>
              <w:left w:type="dxa" w:w="110"/>
              <w:bottom w:type="dxa" w:w="60"/>
              <w:right w:type="dxa" w:w="110"/>
            </w:tcMar>
          </w:tcPr>
          <w:p>
            <w:pPr>
              <w:spacing w:line="240"/>
            </w:pPr>
            <w:r>
              <w:rPr>
                <w:sz w:val="18"/>
                <w:szCs w:val="18"/>
              </w:rPr>
              <w:t xml:space="preserve">The narrative logger. Every step logs what is happening in plain language rather than raw prints, to the console and to a per-day, per-milestone log file. Also owns the correlation ID and log category used throughout a callback's processing.</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utils/api_capture.py</w:t>
            </w:r>
          </w:p>
        </w:tc>
        <w:tc>
          <w:tcPr>
            <w:tcW w:type="dxa" w:w="7040"/>
            <w:tcMar>
              <w:top w:type="dxa" w:w="60"/>
              <w:left w:type="dxa" w:w="110"/>
              <w:bottom w:type="dxa" w:w="60"/>
              <w:right w:type="dxa" w:w="110"/>
            </w:tcMar>
          </w:tcPr>
          <w:p>
            <w:pPr>
              <w:spacing w:line="240"/>
            </w:pPr>
            <w:r>
              <w:rPr>
                <w:sz w:val="18"/>
                <w:szCs w:val="18"/>
              </w:rPr>
              <w:t xml:space="preserve">Records the full request and response of every inbound callback and outbound call to storage/api_capture/, split per category per day. This is the forensic record when something needs explaining after the fact.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utils/json_file_store.py</w:t>
            </w:r>
          </w:p>
        </w:tc>
        <w:tc>
          <w:tcPr>
            <w:tcW w:type="dxa" w:w="7040"/>
            <w:tcMar>
              <w:top w:type="dxa" w:w="60"/>
              <w:left w:type="dxa" w:w="110"/>
              <w:bottom w:type="dxa" w:w="60"/>
              <w:right w:type="dxa" w:w="110"/>
            </w:tcMar>
          </w:tcPr>
          <w:p>
            <w:pPr>
              <w:spacing w:line="240"/>
            </w:pPr>
            <w:r>
              <w:rPr>
                <w:sz w:val="18"/>
                <w:szCs w:val="18"/>
              </w:rPr>
              <w:t xml:space="preserve">The append-only key-value file store the repositories used before Postgres. Still present; the files it wrote remain as audit trails.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utils/storage.py, utils/response.py, utils/logger.py</w:t>
            </w:r>
          </w:p>
        </w:tc>
        <w:tc>
          <w:tcPr>
            <w:tcW w:type="dxa" w:w="7040"/>
            <w:tcMar>
              <w:top w:type="dxa" w:w="60"/>
              <w:left w:type="dxa" w:w="110"/>
              <w:bottom w:type="dxa" w:w="60"/>
              <w:right w:type="dxa" w:w="110"/>
            </w:tcMar>
          </w:tcPr>
          <w:p>
            <w:pPr>
              <w:spacing w:line="240"/>
            </w:pPr>
            <w:r>
              <w:rPr>
                <w:sz w:val="18"/>
                <w:szCs w:val="18"/>
              </w:rPr>
              <w:t xml:space="preserve">Small helpers: archive a raw callback payload, build the standard success response, configure logging.</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utils/attachment_metrics.py</w:t>
            </w:r>
          </w:p>
        </w:tc>
        <w:tc>
          <w:tcPr>
            <w:tcW w:type="dxa" w:w="7040"/>
            <w:tcMar>
              <w:top w:type="dxa" w:w="60"/>
              <w:left w:type="dxa" w:w="110"/>
              <w:bottom w:type="dxa" w:w="60"/>
              <w:right w:type="dxa" w:w="110"/>
            </w:tcMar>
          </w:tcPr>
          <w:p>
            <w:pPr>
              <w:spacing w:line="240"/>
            </w:pPr>
            <w:r>
              <w:rPr>
                <w:sz w:val="18"/>
                <w:szCs w:val="18"/>
              </w:rPr>
              <w:t xml:space="preserve">Instrumentation for file attachments — payload sizes and encryption/transmission timings, cross-referenced against the spec-fit table.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fhir_builders/attachment_spec.py</w:t>
            </w:r>
          </w:p>
        </w:tc>
        <w:tc>
          <w:tcPr>
            <w:tcW w:type="dxa" w:w="7040"/>
            <w:tcMar>
              <w:top w:type="dxa" w:w="60"/>
              <w:left w:type="dxa" w:w="110"/>
              <w:bottom w:type="dxa" w:w="60"/>
              <w:right w:type="dxa" w:w="110"/>
            </w:tcMar>
          </w:tcPr>
          <w:p>
            <w:pPr>
              <w:spacing w:line="240"/>
            </w:pPr>
            <w:r>
              <w:rPr>
                <w:sz w:val="18"/>
                <w:szCs w:val="18"/>
              </w:rPr>
              <w:t xml:space="preserve">A static reference table of what ABDM's FHIR implementation guide actually requires per HI type. Not measured — looked up.</w:t>
            </w:r>
          </w:p>
        </w:tc>
      </w:tr>
    </w:tbl>
    <w:p>
      <w:pPr>
        <w:pStyle w:val="Heading2"/>
        <w:spacing w:after="60" w:before="240"/>
      </w:pPr>
      <w:r>
        <w:rPr>
          <w:b/>
          <w:bCs/>
          <w:color w:val="0E6E5C"/>
          <w:sz w:val="23"/>
          <w:szCs w:val="23"/>
        </w:rPr>
        <w:t xml:space="preserve">4.8 FHIR builders</w:t>
      </w:r>
    </w:p>
    <w:p>
      <w:pPr>
        <w:spacing w:after="120" w:line="268"/>
      </w:pPr>
      <w:r>
        <w:rPr>
          <w:color w:val="222222"/>
          <w:sz w:val="20"/>
          <w:szCs w:val="20"/>
        </w:rPr>
        <w:t xml:space="preserve">Each </w:t>
      </w:r>
      <w:r>
        <w:rPr>
          <w:rFonts w:ascii="Consolas" w:cs="Consolas" w:eastAsia="Consolas" w:hAnsi="Consolas"/>
          <w:color w:val="0B4F6C"/>
          <w:sz w:val="18"/>
          <w:szCs w:val="18"/>
        </w:rPr>
        <w:t xml:space="preserve">build_&lt;resource&gt;()</w:t>
      </w:r>
      <w:r>
        <w:rPr>
          <w:color w:val="222222"/>
          <w:sz w:val="20"/>
          <w:szCs w:val="20"/>
        </w:rPr>
        <w:t xml:space="preserve"> function takes a plain dict of field values and returns a finished FHIR R4 resource as a dict. They are deliberately decoupled from any data source — they do not know whether the row came from a CSV, an ORM or an API. Built against fhir.resources (R4B).</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040"/>
      </w:tblGrid>
      <w:tr>
        <w:trPr>
          <w:tblHeader/>
        </w:trPr>
        <w:tc>
          <w:tcPr>
            <w:tcW w:type="dxa" w:w="3400"/>
            <w:shd w:fill="F2F5F7" w:color="auto" w:val="clear"/>
            <w:tcMar>
              <w:top w:type="dxa" w:w="60"/>
              <w:left w:type="dxa" w:w="110"/>
              <w:bottom w:type="dxa" w:w="60"/>
              <w:right w:type="dxa" w:w="110"/>
            </w:tcMar>
          </w:tcPr>
          <w:p>
            <w:r>
              <w:rPr>
                <w:b/>
                <w:bCs/>
                <w:color w:val="1F3A5F"/>
                <w:sz w:val="18"/>
                <w:szCs w:val="18"/>
              </w:rPr>
              <w:t xml:space="preserve">File</w:t>
            </w:r>
          </w:p>
        </w:tc>
        <w:tc>
          <w:tcPr>
            <w:tcW w:type="dxa" w:w="70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bundle.py, composition.py</w:t>
            </w:r>
          </w:p>
        </w:tc>
        <w:tc>
          <w:tcPr>
            <w:tcW w:type="dxa" w:w="7040"/>
            <w:tcMar>
              <w:top w:type="dxa" w:w="60"/>
              <w:left w:type="dxa" w:w="110"/>
              <w:bottom w:type="dxa" w:w="60"/>
              <w:right w:type="dxa" w:w="110"/>
            </w:tcMar>
          </w:tcPr>
          <w:p>
            <w:pPr>
              <w:spacing w:line="240"/>
            </w:pPr>
            <w:r>
              <w:rPr>
                <w:sz w:val="18"/>
                <w:szCs w:val="18"/>
              </w:rPr>
              <w:t xml:space="preserve">The document bundle wrapper and its Composition — the first entry in every bundle, which indexes all the others.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patient.py, practitioner.py, organization.py, encounter.py</w:t>
            </w:r>
          </w:p>
        </w:tc>
        <w:tc>
          <w:tcPr>
            <w:tcW w:type="dxa" w:w="7040"/>
            <w:tcMar>
              <w:top w:type="dxa" w:w="60"/>
              <w:left w:type="dxa" w:w="110"/>
              <w:bottom w:type="dxa" w:w="60"/>
              <w:right w:type="dxa" w:w="110"/>
            </w:tcMar>
          </w:tcPr>
          <w:p>
            <w:pPr>
              <w:spacing w:line="240"/>
            </w:pPr>
            <w:r>
              <w:rPr>
                <w:sz w:val="18"/>
                <w:szCs w:val="18"/>
              </w:rPr>
              <w:t xml:space="preserve">The who, the clinician, the facility and the visit.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condition.py, observation.py, medication_request.py, procedure.py, diagnostic_report.py, immunization.py</w:t>
            </w:r>
          </w:p>
        </w:tc>
        <w:tc>
          <w:tcPr>
            <w:tcW w:type="dxa" w:w="7040"/>
            <w:tcMar>
              <w:top w:type="dxa" w:w="60"/>
              <w:left w:type="dxa" w:w="110"/>
              <w:bottom w:type="dxa" w:w="60"/>
              <w:right w:type="dxa" w:w="110"/>
            </w:tcMar>
          </w:tcPr>
          <w:p>
            <w:pPr>
              <w:spacing w:line="240"/>
            </w:pPr>
            <w:r>
              <w:rPr>
                <w:sz w:val="18"/>
                <w:szCs w:val="18"/>
              </w:rPr>
              <w:t xml:space="preserve">The clinical content itself — one builder per resource type.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document_reference.py, binary.py, media.py</w:t>
            </w:r>
          </w:p>
        </w:tc>
        <w:tc>
          <w:tcPr>
            <w:tcW w:type="dxa" w:w="7040"/>
            <w:tcMar>
              <w:top w:type="dxa" w:w="60"/>
              <w:left w:type="dxa" w:w="110"/>
              <w:bottom w:type="dxa" w:w="60"/>
              <w:right w:type="dxa" w:w="110"/>
            </w:tcMar>
          </w:tcPr>
          <w:p>
            <w:pPr>
              <w:spacing w:line="240"/>
            </w:pPr>
            <w:r>
              <w:rPr>
                <w:sz w:val="18"/>
                <w:szCs w:val="18"/>
              </w:rPr>
              <w:t xml:space="preserve">The three different ways ABDM attaches files, which vary by HI type: most use DocumentReference, prescriptions use a bare Binary, imaging reports use Media.</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attachment_utils.py, datetime_utils.py</w:t>
            </w:r>
          </w:p>
        </w:tc>
        <w:tc>
          <w:tcPr>
            <w:tcW w:type="dxa" w:w="7040"/>
            <w:tcMar>
              <w:top w:type="dxa" w:w="60"/>
              <w:left w:type="dxa" w:w="110"/>
              <w:bottom w:type="dxa" w:w="60"/>
              <w:right w:type="dxa" w:w="110"/>
            </w:tcMar>
          </w:tcPr>
          <w:p>
            <w:pPr>
              <w:spacing w:line="240"/>
            </w:pPr>
            <w:r>
              <w:rPr>
                <w:sz w:val="18"/>
                <w:szCs w:val="18"/>
              </w:rPr>
              <w:t xml:space="preserve">Shared helpers for attachments and for FHIR's datetime formats.</w:t>
            </w:r>
          </w:p>
        </w:tc>
      </w:tr>
    </w:tbl>
    <w:p>
      <w:pPr>
        <w:pStyle w:val="Heading2"/>
        <w:spacing w:after="60" w:before="240"/>
      </w:pPr>
      <w:r>
        <w:rPr>
          <w:b/>
          <w:bCs/>
          <w:color w:val="0E6E5C"/>
          <w:sz w:val="23"/>
          <w:szCs w:val="23"/>
        </w:rPr>
        <w:t xml:space="preserve">4.9 Database</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040"/>
      </w:tblGrid>
      <w:tr>
        <w:trPr>
          <w:tblHeader/>
        </w:trPr>
        <w:tc>
          <w:tcPr>
            <w:tcW w:type="dxa" w:w="3400"/>
            <w:shd w:fill="F2F5F7" w:color="auto" w:val="clear"/>
            <w:tcMar>
              <w:top w:type="dxa" w:w="60"/>
              <w:left w:type="dxa" w:w="110"/>
              <w:bottom w:type="dxa" w:w="60"/>
              <w:right w:type="dxa" w:w="110"/>
            </w:tcMar>
          </w:tcPr>
          <w:p>
            <w:r>
              <w:rPr>
                <w:b/>
                <w:bCs/>
                <w:color w:val="1F3A5F"/>
                <w:sz w:val="18"/>
                <w:szCs w:val="18"/>
              </w:rPr>
              <w:t xml:space="preserve">File</w:t>
            </w:r>
          </w:p>
        </w:tc>
        <w:tc>
          <w:tcPr>
            <w:tcW w:type="dxa" w:w="70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server/db.py</w:t>
            </w:r>
          </w:p>
        </w:tc>
        <w:tc>
          <w:tcPr>
            <w:tcW w:type="dxa" w:w="7040"/>
            <w:tcMar>
              <w:top w:type="dxa" w:w="60"/>
              <w:left w:type="dxa" w:w="110"/>
              <w:bottom w:type="dxa" w:w="60"/>
              <w:right w:type="dxa" w:w="110"/>
            </w:tcMar>
          </w:tcPr>
          <w:p>
            <w:pPr>
              <w:spacing w:line="240"/>
            </w:pPr>
            <w:r>
              <w:rPr>
                <w:sz w:val="18"/>
                <w:szCs w:val="18"/>
              </w:rPr>
              <w:t xml:space="preserve">Engine and session handling. Deliberately a self-contained copy of the PHR app's pattern rather than an import of it, so this backend keeps running with aegle-phr absent.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server/db_models.py</w:t>
            </w:r>
          </w:p>
        </w:tc>
        <w:tc>
          <w:tcPr>
            <w:tcW w:type="dxa" w:w="7040"/>
            <w:tcMar>
              <w:top w:type="dxa" w:w="60"/>
              <w:left w:type="dxa" w:w="110"/>
              <w:bottom w:type="dxa" w:w="60"/>
              <w:right w:type="dxa" w:w="110"/>
            </w:tcMar>
          </w:tcPr>
          <w:p>
            <w:pPr>
              <w:spacing w:line="240"/>
            </w:pPr>
            <w:r>
              <w:rPr>
                <w:sz w:val="18"/>
                <w:szCs w:val="18"/>
              </w:rPr>
              <w:t xml:space="preserve">All table definitions. Two distinct groups: fourteen JSONB key-value tables backing the callback state stores, and a set of properly relational tables with typed columns and foreign keys for the dummy EMR.</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alembic/versions/*</w:t>
            </w:r>
          </w:p>
        </w:tc>
        <w:tc>
          <w:tcPr>
            <w:tcW w:type="dxa" w:w="7040"/>
            <w:tcMar>
              <w:top w:type="dxa" w:w="60"/>
              <w:left w:type="dxa" w:w="110"/>
              <w:bottom w:type="dxa" w:w="60"/>
              <w:right w:type="dxa" w:w="110"/>
            </w:tcMar>
          </w:tcPr>
          <w:p>
            <w:pPr>
              <w:spacing w:line="240"/>
            </w:pPr>
            <w:r>
              <w:rPr>
                <w:sz w:val="18"/>
                <w:szCs w:val="18"/>
              </w:rPr>
              <w:t xml:space="preserve">Fifteen migrations — fourteen creating the state tables one at a time, plus one large migration creating the dummy EMR schema.</w:t>
            </w:r>
          </w:p>
        </w:tc>
      </w:tr>
    </w:tbl>
    <w:p>
      <w:pPr>
        <w:pStyle w:val="Heading2"/>
        <w:spacing w:after="60" w:before="240"/>
      </w:pPr>
      <w:r>
        <w:rPr>
          <w:b/>
          <w:bCs/>
          <w:color w:val="0E6E5C"/>
          <w:sz w:val="23"/>
          <w:szCs w:val="23"/>
        </w:rPr>
        <w:t xml:space="preserve">4.10 tools/</w:t>
      </w:r>
    </w:p>
    <w:p>
      <w:pPr>
        <w:spacing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040"/>
      </w:tblGrid>
      <w:tr>
        <w:trPr>
          <w:tblHeader/>
        </w:trPr>
        <w:tc>
          <w:tcPr>
            <w:tcW w:type="dxa" w:w="3400"/>
            <w:shd w:fill="F2F5F7" w:color="auto" w:val="clear"/>
            <w:tcMar>
              <w:top w:type="dxa" w:w="60"/>
              <w:left w:type="dxa" w:w="110"/>
              <w:bottom w:type="dxa" w:w="60"/>
              <w:right w:type="dxa" w:w="110"/>
            </w:tcMar>
          </w:tcPr>
          <w:p>
            <w:r>
              <w:rPr>
                <w:b/>
                <w:bCs/>
                <w:color w:val="1F3A5F"/>
                <w:sz w:val="18"/>
                <w:szCs w:val="18"/>
              </w:rPr>
              <w:t xml:space="preserve">File</w:t>
            </w:r>
          </w:p>
        </w:tc>
        <w:tc>
          <w:tcPr>
            <w:tcW w:type="dxa" w:w="7040"/>
            <w:shd w:fill="F2F5F7" w:color="auto" w:val="clear"/>
            <w:tcMar>
              <w:top w:type="dxa" w:w="60"/>
              <w:left w:type="dxa" w:w="110"/>
              <w:bottom w:type="dxa" w:w="60"/>
              <w:right w:type="dxa" w:w="110"/>
            </w:tcMar>
          </w:tcPr>
          <w:p>
            <w:r>
              <w:rPr>
                <w:b/>
                <w:bCs/>
                <w:color w:val="1F3A5F"/>
                <w:sz w:val="18"/>
                <w:szCs w:val="18"/>
              </w:rPr>
              <w:t xml:space="preserve">What it does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m1_test_suite/</w:t>
            </w:r>
          </w:p>
        </w:tc>
        <w:tc>
          <w:tcPr>
            <w:tcW w:type="dxa" w:w="7040"/>
            <w:tcMar>
              <w:top w:type="dxa" w:w="60"/>
              <w:left w:type="dxa" w:w="110"/>
              <w:bottom w:type="dxa" w:w="60"/>
              <w:right w:type="dxa" w:w="110"/>
            </w:tcMar>
          </w:tcPr>
          <w:p>
            <w:pPr>
              <w:spacing w:line="240"/>
            </w:pPr>
            <w:r>
              <w:rPr>
                <w:sz w:val="18"/>
                <w:szCs w:val="18"/>
              </w:rPr>
              <w:t xml:space="preserve">13 interactive flows: Aadhaar enrollment, the various login methods, mobile linking, ABHA address creation, profile utilities and address lookup. login_runner.py holds the shape shared by seven of the eight login variants; the mobile-number login is separate because it has an extra account-selection step.</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m2_test_suite/</w:t>
            </w:r>
          </w:p>
        </w:tc>
        <w:tc>
          <w:tcPr>
            <w:tcW w:type="dxa" w:w="7040"/>
            <w:tcMar>
              <w:top w:type="dxa" w:w="60"/>
              <w:left w:type="dxa" w:w="110"/>
              <w:bottom w:type="dxa" w:w="60"/>
              <w:right w:type="dxa" w:w="110"/>
            </w:tcMar>
          </w:tcPr>
          <w:p>
            <w:pPr>
              <w:spacing w:line="240"/>
            </w:pPr>
            <w:r>
              <w:rPr>
                <w:sz w:val="18"/>
                <w:szCs w:val="18"/>
              </w:rPr>
              <w:t xml:space="preserve">Six flows: four synchronous bridge/gateway admin calls (bridge_gateway.py) and the async HIP-Initiated Linking chain plus SMS notification (hip_linking.py). common.py sources patients and facilities from real fixture data rather than free-typed input, and polls for callbacks.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m3_test_suite/</w:t>
            </w:r>
          </w:p>
        </w:tc>
        <w:tc>
          <w:tcPr>
            <w:tcW w:type="dxa" w:w="7040"/>
            <w:tcMar>
              <w:top w:type="dxa" w:w="60"/>
              <w:left w:type="dxa" w:w="110"/>
              <w:bottom w:type="dxa" w:w="60"/>
              <w:right w:type="dxa" w:w="110"/>
            </w:tcMar>
          </w:tcPr>
          <w:p>
            <w:pPr>
              <w:spacing w:line="240"/>
            </w:pPr>
            <w:r>
              <w:rPr>
                <w:sz w:val="18"/>
                <w:szCs w:val="18"/>
              </w:rPr>
              <w:t xml:space="preserve">Two flows: Consent Init Request (fires and returns — the rest completes server-side) and Health Information Request (fires, then polls for the acknowledgement, the push and the outcome).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dummy_emr/</w:t>
            </w:r>
          </w:p>
        </w:tc>
        <w:tc>
          <w:tcPr>
            <w:tcW w:type="dxa" w:w="7040"/>
            <w:tcMar>
              <w:top w:type="dxa" w:w="60"/>
              <w:left w:type="dxa" w:w="110"/>
              <w:bottom w:type="dxa" w:w="60"/>
              <w:right w:type="dxa" w:w="110"/>
            </w:tcMar>
          </w:tcPr>
          <w:p>
            <w:pPr>
              <w:spacing w:line="240"/>
            </w:pPr>
            <w:r>
              <w:rPr>
                <w:sz w:val="18"/>
                <w:szCs w:val="18"/>
              </w:rPr>
              <w:t xml:space="preserve">The synthetic EMR dataset generator: a clinical case library anchored to real diagnosis codes, master data (medications, lab tests, diagnoses by speciality, vaccines, procedures), and one generator per clinical table. frozen_data.py pins the original twelve encounters that are already linked in the live sandbox so they can never be regenerated.</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generate_dummy_emr.py</w:t>
            </w:r>
          </w:p>
        </w:tc>
        <w:tc>
          <w:tcPr>
            <w:tcW w:type="dxa" w:w="7040"/>
            <w:tcMar>
              <w:top w:type="dxa" w:w="60"/>
              <w:left w:type="dxa" w:w="110"/>
              <w:bottom w:type="dxa" w:w="60"/>
              <w:right w:type="dxa" w:w="110"/>
            </w:tcMar>
          </w:tcPr>
          <w:p>
            <w:pPr>
              <w:spacing w:line="240"/>
            </w:pPr>
            <w:r>
              <w:rPr>
                <w:sz w:val="18"/>
                <w:szCs w:val="18"/>
              </w:rPr>
              <w:t xml:space="preserve">Orchestrates that generation. Additive and upsert-only — it never disturbs existing rows, and only generates for the real ABHA-linked test patients.</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generate_patient_records.py</w:t>
            </w:r>
          </w:p>
        </w:tc>
        <w:tc>
          <w:tcPr>
            <w:tcW w:type="dxa" w:w="7040"/>
            <w:tcMar>
              <w:top w:type="dxa" w:w="60"/>
              <w:left w:type="dxa" w:w="110"/>
              <w:bottom w:type="dxa" w:w="60"/>
              <w:right w:type="dxa" w:w="110"/>
            </w:tcMar>
          </w:tcPr>
          <w:p>
            <w:pPr>
              <w:spacing w:line="240"/>
            </w:pPr>
            <w:r>
              <w:rPr>
                <w:sz w:val="18"/>
                <w:szCs w:val="18"/>
              </w:rPr>
              <w:t xml:space="preserve">Builds the care-context lookup that Discover and Link Confirm read. Must be re-run alongside the generator whenever patient data changes, or the two drift apart.</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generate_fhir_bundles.py</w:t>
            </w:r>
          </w:p>
        </w:tc>
        <w:tc>
          <w:tcPr>
            <w:tcW w:type="dxa" w:w="7040"/>
            <w:tcMar>
              <w:top w:type="dxa" w:w="60"/>
              <w:left w:type="dxa" w:w="110"/>
              <w:bottom w:type="dxa" w:w="60"/>
              <w:right w:type="dxa" w:w="110"/>
            </w:tcMar>
          </w:tcPr>
          <w:p>
            <w:pPr>
              <w:spacing w:line="240"/>
            </w:pPr>
            <w:r>
              <w:rPr>
                <w:sz w:val="18"/>
                <w:szCs w:val="18"/>
              </w:rPr>
              <w:t xml:space="preserve">Assembles one FHIR bundle per encounter from the dataset and writes them to disk — useful for inspecting output without running a live transfer.</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validate_output.py / validate_fhir_bundles.py</w:t>
            </w:r>
          </w:p>
        </w:tc>
        <w:tc>
          <w:tcPr>
            <w:tcW w:type="dxa" w:w="7040"/>
            <w:tcMar>
              <w:top w:type="dxa" w:w="60"/>
              <w:left w:type="dxa" w:w="110"/>
              <w:bottom w:type="dxa" w:w="60"/>
              <w:right w:type="dxa" w:w="110"/>
            </w:tcMar>
          </w:tcPr>
          <w:p>
            <w:pPr>
              <w:spacing w:line="240"/>
            </w:pPr>
            <w:r>
              <w:rPr>
                <w:sz w:val="18"/>
                <w:szCs w:val="18"/>
              </w:rPr>
              <w:t xml:space="preserve">Two separate checks: the first that the generated dataset is internally consistent and clinically sensible, the second that it converts into structurally valid FHIR.</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verify_fidelius.py</w:t>
            </w:r>
          </w:p>
        </w:tc>
        <w:tc>
          <w:tcPr>
            <w:tcW w:type="dxa" w:w="7040"/>
            <w:tcMar>
              <w:top w:type="dxa" w:w="60"/>
              <w:left w:type="dxa" w:w="110"/>
              <w:bottom w:type="dxa" w:w="60"/>
              <w:right w:type="dxa" w:w="110"/>
            </w:tcMar>
          </w:tcPr>
          <w:p>
            <w:pPr>
              <w:spacing w:line="240"/>
            </w:pPr>
            <w:r>
              <w:rPr>
                <w:sz w:val="18"/>
                <w:szCs w:val="18"/>
              </w:rPr>
              <w:t xml:space="preserve">Checks the encryption implementation against ABDM's own published test vector plus a round trip.</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migrate_*_to_postgres.py</w:t>
            </w:r>
          </w:p>
        </w:tc>
        <w:tc>
          <w:tcPr>
            <w:tcW w:type="dxa" w:w="7040"/>
            <w:tcMar>
              <w:top w:type="dxa" w:w="60"/>
              <w:left w:type="dxa" w:w="110"/>
              <w:bottom w:type="dxa" w:w="60"/>
              <w:right w:type="dxa" w:w="110"/>
            </w:tcMar>
          </w:tcPr>
          <w:p>
            <w:pPr>
              <w:spacing w:line="240"/>
            </w:pPr>
            <w:r>
              <w:rPr>
                <w:sz w:val="18"/>
                <w:szCs w:val="18"/>
              </w:rPr>
              <w:t xml:space="preserve">The one-time backfills that moved the state stores off files into Postgres. Already run; kept for reference.</w:t>
            </w:r>
          </w:p>
        </w:tc>
      </w:tr>
      <w:tr>
        <w:tc>
          <w:tcPr>
            <w:tcW w:type="dxa" w:w="3400"/>
            <w:tcMar>
              <w:top w:type="dxa" w:w="60"/>
              <w:left w:type="dxa" w:w="110"/>
              <w:bottom w:type="dxa" w:w="60"/>
              <w:right w:type="dxa" w:w="110"/>
            </w:tcMar>
          </w:tcPr>
          <w:p>
            <w:r>
              <w:rPr>
                <w:rFonts w:ascii="Consolas" w:cs="Consolas" w:eastAsia="Consolas" w:hAnsi="Consolas"/>
                <w:color w:val="0B4F6C"/>
                <w:sz w:val="17"/>
                <w:szCs w:val="17"/>
              </w:rPr>
              <w:t xml:space="preserve">edge_case_testing/</w:t>
            </w:r>
          </w:p>
        </w:tc>
        <w:tc>
          <w:tcPr>
            <w:tcW w:type="dxa" w:w="7040"/>
            <w:tcMar>
              <w:top w:type="dxa" w:w="60"/>
              <w:left w:type="dxa" w:w="110"/>
              <w:bottom w:type="dxa" w:w="60"/>
              <w:right w:type="dxa" w:w="110"/>
            </w:tcMar>
          </w:tcPr>
          <w:p>
            <w:pPr>
              <w:spacing w:line="240"/>
            </w:pPr>
            <w:r>
              <w:rPr>
                <w:sz w:val="18"/>
                <w:szCs w:val="18"/>
              </w:rPr>
              <w:t xml:space="preserve">A checkpointing harness and notebooks from the edge-case review that produced many of the guards described above.</w:t>
            </w:r>
          </w:p>
        </w:tc>
      </w:tr>
    </w:tbl>
    <w:p>
      <w:pPr>
        <w:pStyle w:val="Heading1"/>
        <w:pBdr>
          <w:bottom w:val="single" w:color="0E6E5C" w:sz="8" w:space="3"/>
        </w:pBdr>
        <w:spacing w:after="100" w:before="320"/>
      </w:pPr>
      <w:r>
        <w:rPr>
          <w:b/>
          <w:bCs/>
          <w:color w:val="1F3A5F"/>
          <w:sz w:val="28"/>
          <w:szCs w:val="28"/>
        </w:rPr>
        <w:t xml:space="preserve">5. The flows</w:t>
      </w:r>
    </w:p>
    <w:p>
      <w:pPr>
        <w:spacing w:after="120" w:line="268"/>
      </w:pPr>
      <w:r>
        <w:rPr>
          <w:color w:val="222222"/>
          <w:sz w:val="20"/>
          <w:szCs w:val="20"/>
        </w:rPr>
        <w:t xml:space="preserve">Each of the following is one complete operation. Where steps happen automatically — with no human doing anything between them — they are listed as one flow even though they are several separate HTTP exchanges.</w:t>
      </w:r>
    </w:p>
    <w:p>
      <w:pPr>
        <w:pStyle w:val="Heading2"/>
        <w:spacing w:after="60" w:before="240"/>
      </w:pPr>
      <w:r>
        <w:rPr>
          <w:b/>
          <w:bCs/>
          <w:color w:val="0E6E5C"/>
          <w:sz w:val="23"/>
          <w:szCs w:val="23"/>
        </w:rPr>
        <w:t xml:space="preserve">Flow 1 — ABHA enrollment (M1)</w:t>
      </w:r>
    </w:p>
    <w:p>
      <w:pPr>
        <w:spacing w:after="120" w:line="268"/>
      </w:pPr>
      <w:r>
        <w:rPr>
          <w:color w:val="222222"/>
          <w:sz w:val="20"/>
          <w:szCs w:val="20"/>
        </w:rPr>
        <w:t xml:space="preserve">Entirely synchronous, CLI-driven, no callbacks and no server involvement.</w:t>
      </w:r>
    </w:p>
    <w:p>
      <w:pPr>
        <w:spacing w:after="100" w:line="268"/>
        <w:ind w:left="420" w:hanging="420"/>
      </w:pPr>
      <w:r>
        <w:rPr>
          <w:b/>
          <w:bCs/>
          <w:color w:val="0E6E5C"/>
          <w:sz w:val="20"/>
          <w:szCs w:val="20"/>
        </w:rPr>
        <w:t xml:space="preserve">1.  </w:t>
      </w:r>
      <w:r>
        <w:rPr>
          <w:b/>
          <w:bCs/>
          <w:color w:val="1F3A5F"/>
          <w:sz w:val="20"/>
          <w:szCs w:val="20"/>
        </w:rPr>
        <w:t xml:space="preserve">Request an OTP</w:t>
      </w:r>
      <w:r>
        <w:rPr>
          <w:color w:val="222222"/>
          <w:sz w:val="20"/>
          <w:szCs w:val="20"/>
        </w:rPr>
        <w:t xml:space="preserve"> — the Aadhaar number is RSA-encrypted with ABDM's public certificate before it is sent. ABDM returns a transaction ID.</w:t>
      </w:r>
    </w:p>
    <w:p>
      <w:pPr>
        <w:spacing w:after="100" w:line="268"/>
        <w:ind w:left="420" w:hanging="420"/>
      </w:pPr>
      <w:r>
        <w:rPr>
          <w:b/>
          <w:bCs/>
          <w:color w:val="0E6E5C"/>
          <w:sz w:val="20"/>
          <w:szCs w:val="20"/>
        </w:rPr>
        <w:t xml:space="preserve">2.  </w:t>
      </w:r>
      <w:r>
        <w:rPr>
          <w:b/>
          <w:bCs/>
          <w:color w:val="1F3A5F"/>
          <w:sz w:val="20"/>
          <w:szCs w:val="20"/>
        </w:rPr>
        <w:t xml:space="preserve">User enters the OTP</w:t>
      </w:r>
      <w:r>
        <w:rPr>
          <w:color w:val="222222"/>
          <w:sz w:val="20"/>
          <w:szCs w:val="20"/>
        </w:rPr>
        <w:t xml:space="preserve"> — it is encrypted the same way and submitted with the transaction ID and the patient's mobile number.</w:t>
      </w:r>
    </w:p>
    <w:p>
      <w:pPr>
        <w:spacing w:after="100" w:line="268"/>
        <w:ind w:left="420" w:hanging="420"/>
      </w:pPr>
      <w:r>
        <w:rPr>
          <w:b/>
          <w:bCs/>
          <w:color w:val="0E6E5C"/>
          <w:sz w:val="20"/>
          <w:szCs w:val="20"/>
        </w:rPr>
        <w:t xml:space="preserve">3.  </w:t>
      </w:r>
      <w:r>
        <w:rPr>
          <w:b/>
          <w:bCs/>
          <w:color w:val="1F3A5F"/>
          <w:sz w:val="20"/>
          <w:szCs w:val="20"/>
        </w:rPr>
        <w:t xml:space="preserve">ABDM creates the ABHA</w:t>
      </w:r>
      <w:r>
        <w:rPr>
          <w:color w:val="222222"/>
          <w:sz w:val="20"/>
          <w:szCs w:val="20"/>
        </w:rPr>
        <w:t xml:space="preserve"> — and returns the account details and a token. Optionally the flow continues into creating a custom ABHA address for the new account.</w:t>
      </w:r>
    </w:p>
    <w:p>
      <w:pPr>
        <w:pStyle w:val="Heading2"/>
        <w:spacing w:after="60" w:before="240"/>
      </w:pPr>
      <w:r>
        <w:rPr>
          <w:b/>
          <w:bCs/>
          <w:color w:val="0E6E5C"/>
          <w:sz w:val="23"/>
          <w:szCs w:val="23"/>
        </w:rPr>
        <w:t xml:space="preserve">Flow 2 — ABHA login (M1)</w:t>
      </w:r>
    </w:p>
    <w:p>
      <w:pPr>
        <w:spacing w:after="120" w:line="268"/>
      </w:pPr>
      <w:r>
        <w:rPr>
          <w:color w:val="222222"/>
          <w:sz w:val="20"/>
          <w:szCs w:val="20"/>
        </w:rPr>
        <w:t xml:space="preserve">Eight documented methods, seven of which share one shape; they differ only in the identifier used, the scope requested, and where the OTP is sent.</w:t>
      </w:r>
    </w:p>
    <w:p>
      <w:pPr>
        <w:spacing w:after="100" w:line="268"/>
        <w:ind w:left="420" w:hanging="420"/>
      </w:pPr>
      <w:r>
        <w:rPr>
          <w:b/>
          <w:bCs/>
          <w:color w:val="0E6E5C"/>
          <w:sz w:val="20"/>
          <w:szCs w:val="20"/>
        </w:rPr>
        <w:t xml:space="preserve">1.  </w:t>
      </w:r>
      <w:r>
        <w:rPr>
          <w:b/>
          <w:bCs/>
          <w:color w:val="1F3A5F"/>
          <w:sz w:val="20"/>
          <w:szCs w:val="20"/>
        </w:rPr>
        <w:t xml:space="preserve">Request an OTP</w:t>
      </w:r>
      <w:r>
        <w:rPr>
          <w:color w:val="222222"/>
          <w:sz w:val="20"/>
          <w:szCs w:val="20"/>
        </w:rPr>
        <w:t xml:space="preserve"> — for the chosen identifier — Aadhaar number, mobile number, ABHA number or ABHA address.</w:t>
      </w:r>
    </w:p>
    <w:p>
      <w:pPr>
        <w:spacing w:after="100" w:line="268"/>
        <w:ind w:left="420" w:hanging="420"/>
      </w:pPr>
      <w:r>
        <w:rPr>
          <w:b/>
          <w:bCs/>
          <w:color w:val="0E6E5C"/>
          <w:sz w:val="20"/>
          <w:szCs w:val="20"/>
        </w:rPr>
        <w:t xml:space="preserve">2.  </w:t>
      </w:r>
      <w:r>
        <w:rPr>
          <w:b/>
          <w:bCs/>
          <w:color w:val="1F3A5F"/>
          <w:sz w:val="20"/>
          <w:szCs w:val="20"/>
        </w:rPr>
        <w:t xml:space="preserve">Verify the OTP</w:t>
      </w:r>
      <w:r>
        <w:rPr>
          <w:color w:val="222222"/>
          <w:sz w:val="20"/>
          <w:szCs w:val="20"/>
        </w:rPr>
        <w:t xml:space="preserve"> — which returns the account list and a token.</w:t>
      </w:r>
    </w:p>
    <w:p>
      <w:pPr>
        <w:spacing w:after="100" w:line="268"/>
        <w:ind w:left="420" w:hanging="420"/>
      </w:pPr>
      <w:r>
        <w:rPr>
          <w:b/>
          <w:bCs/>
          <w:color w:val="0E6E5C"/>
          <w:sz w:val="20"/>
          <w:szCs w:val="20"/>
        </w:rPr>
        <w:t xml:space="preserve">3.  </w:t>
      </w:r>
      <w:r>
        <w:rPr>
          <w:b/>
          <w:bCs/>
          <w:color w:val="1F3A5F"/>
          <w:sz w:val="20"/>
          <w:szCs w:val="20"/>
        </w:rPr>
        <w:t xml:space="preserve">Select an account, if the identifier maps to several</w:t>
      </w:r>
      <w:r>
        <w:rPr>
          <w:color w:val="222222"/>
          <w:sz w:val="20"/>
          <w:szCs w:val="20"/>
        </w:rPr>
        <w:t xml:space="preserve"> — the mobile-number method is the exception to the shared shape: it returns a temporary token and requires an extra verify-user call to pick which ABHA address to sign in as.</w:t>
      </w:r>
    </w:p>
    <w:p>
      <w:pPr>
        <w:spacing w:after="120" w:line="268"/>
      </w:pPr>
      <w:r>
        <w:rPr>
          <w:color w:val="222222"/>
          <w:sz w:val="20"/>
          <w:szCs w:val="20"/>
        </w:rPr>
        <w:t xml:space="preserve">Once logged in, the profile utilities reuse the resulting token to fetch the profile, QR code or ABHA card, or to link an email address.</w:t>
      </w:r>
    </w:p>
    <w:p>
      <w:pPr>
        <w:pStyle w:val="Heading2"/>
        <w:spacing w:after="60" w:before="240"/>
      </w:pPr>
      <w:r>
        <w:rPr>
          <w:b/>
          <w:bCs/>
          <w:color w:val="0E6E5C"/>
          <w:sz w:val="23"/>
          <w:szCs w:val="23"/>
        </w:rPr>
        <w:t xml:space="preserve">Flow 3 — HIP-Initiated Linking (M2)</w:t>
      </w:r>
    </w:p>
    <w:p>
      <w:pPr>
        <w:spacing w:after="120" w:line="268"/>
      </w:pPr>
      <w:r>
        <w:rPr>
          <w:color w:val="222222"/>
          <w:sz w:val="20"/>
          <w:szCs w:val="20"/>
        </w:rPr>
        <w:t xml:space="preserve">The facility links a patient's visit to their ABHA. Started from the M2 CLI, but everything after the first call happens automatically, server-side, driven by callbacks. No OTP is involved anywhere in this flow — the patient was verified in person at the facility.</w:t>
      </w:r>
    </w:p>
    <w:p>
      <w:pPr>
        <w:spacing w:after="100" w:line="268"/>
        <w:ind w:left="420" w:hanging="420"/>
      </w:pPr>
      <w:r>
        <w:rPr>
          <w:b/>
          <w:bCs/>
          <w:color w:val="0E6E5C"/>
          <w:sz w:val="20"/>
          <w:szCs w:val="20"/>
        </w:rPr>
        <w:t xml:space="preserve">1.  </w:t>
      </w:r>
      <w:r>
        <w:rPr>
          <w:b/>
          <w:bCs/>
          <w:color w:val="1F3A5F"/>
          <w:sz w:val="20"/>
          <w:szCs w:val="20"/>
        </w:rPr>
        <w:t xml:space="preserve">Request a link token</w:t>
      </w:r>
      <w:r>
        <w:rPr>
          <w:color w:val="222222"/>
          <w:sz w:val="20"/>
          <w:szCs w:val="20"/>
        </w:rPr>
        <w:t xml:space="preserve"> — the CLI picks a patient and facility and calls ABDM. If a token is already saved for that exact patient-and-facility pair, the call is skipped entirely and the saved token is reused — ABDM rejects repeat requests for a patient who already has one. Otherwise ABDM returns 202 and the pending request is stashed under our request ID.</w:t>
      </w:r>
    </w:p>
    <w:p>
      <w:pPr>
        <w:spacing w:after="100" w:line="268"/>
        <w:ind w:left="420" w:hanging="420"/>
      </w:pPr>
      <w:r>
        <w:rPr>
          <w:b/>
          <w:bCs/>
          <w:color w:val="0E6E5C"/>
          <w:sz w:val="20"/>
          <w:szCs w:val="20"/>
        </w:rPr>
        <w:t xml:space="preserve">2.  </w:t>
      </w:r>
      <w:r>
        <w:rPr>
          <w:b/>
          <w:bCs/>
          <w:color w:val="1F3A5F"/>
          <w:sz w:val="20"/>
          <w:szCs w:val="20"/>
        </w:rPr>
        <w:t xml:space="preserve">ABDM delivers the token</w:t>
      </w:r>
      <w:r>
        <w:rPr>
          <w:color w:val="222222"/>
          <w:sz w:val="20"/>
          <w:szCs w:val="20"/>
        </w:rPr>
        <w:t xml:space="preserve"> — as a callback. The service matches it back to the pending request, saves the token against the patient and facility, and looks up the care contexts that were selected.</w:t>
      </w:r>
    </w:p>
    <w:p>
      <w:pPr>
        <w:spacing w:after="100" w:line="268"/>
        <w:ind w:left="420" w:hanging="420"/>
      </w:pPr>
      <w:r>
        <w:rPr>
          <w:b/>
          <w:bCs/>
          <w:color w:val="0E6E5C"/>
          <w:sz w:val="20"/>
          <w:szCs w:val="20"/>
        </w:rPr>
        <w:t xml:space="preserve">3.  </w:t>
      </w:r>
      <w:r>
        <w:rPr>
          <w:b/>
          <w:bCs/>
          <w:color w:val="1F3A5F"/>
          <w:sz w:val="20"/>
          <w:szCs w:val="20"/>
        </w:rPr>
        <w:t xml:space="preserve">Link the care contexts</w:t>
      </w:r>
      <w:r>
        <w:rPr>
          <w:color w:val="222222"/>
          <w:sz w:val="20"/>
          <w:szCs w:val="20"/>
        </w:rPr>
        <w:t xml:space="preserve"> — fired automatically, in the same step — no human involved. Before the call, what is being submitted is stashed, because ABDM's confirmation will not echo it back.</w:t>
      </w:r>
    </w:p>
    <w:p>
      <w:pPr>
        <w:spacing w:after="100" w:line="268"/>
        <w:ind w:left="420" w:hanging="420"/>
      </w:pPr>
      <w:r>
        <w:rPr>
          <w:b/>
          <w:bCs/>
          <w:color w:val="0E6E5C"/>
          <w:sz w:val="20"/>
          <w:szCs w:val="20"/>
        </w:rPr>
        <w:t xml:space="preserve">4.  </w:t>
      </w:r>
      <w:r>
        <w:rPr>
          <w:b/>
          <w:bCs/>
          <w:color w:val="1F3A5F"/>
          <w:sz w:val="20"/>
          <w:szCs w:val="20"/>
        </w:rPr>
        <w:t xml:space="preserve">ABDM confirms the link</w:t>
      </w:r>
      <w:r>
        <w:rPr>
          <w:color w:val="222222"/>
          <w:sz w:val="20"/>
          <w:szCs w:val="20"/>
        </w:rPr>
        <w:t xml:space="preserve"> — another callback. On success the service reads back what was submitted and moves to the last step.</w:t>
      </w:r>
    </w:p>
    <w:p>
      <w:pPr>
        <w:spacing w:after="100" w:line="268"/>
        <w:ind w:left="420" w:hanging="420"/>
      </w:pPr>
      <w:r>
        <w:rPr>
          <w:b/>
          <w:bCs/>
          <w:color w:val="0E6E5C"/>
          <w:sz w:val="20"/>
          <w:szCs w:val="20"/>
        </w:rPr>
        <w:t xml:space="preserve">5.  </w:t>
      </w:r>
      <w:r>
        <w:rPr>
          <w:b/>
          <w:bCs/>
          <w:color w:val="1F3A5F"/>
          <w:sz w:val="20"/>
          <w:szCs w:val="20"/>
        </w:rPr>
        <w:t xml:space="preserve">Notify each care context</w:t>
      </w:r>
      <w:r>
        <w:rPr>
          <w:color w:val="222222"/>
          <w:sz w:val="20"/>
          <w:szCs w:val="20"/>
        </w:rPr>
        <w:t xml:space="preserve"> — one Notify Care Context Update call per linked care context, so ABDM knows data is available. Failures are kept pending rather than dropped, so a redelivery can retry only the ones that failed. ABDM's acknowledgement of each notify arrives as one more callback; the known ABDM-1006 timing race is retried once after a short delay.</w:t>
      </w:r>
    </w:p>
    <w:p>
      <w:pPr>
        <w:pStyle w:val="Heading2"/>
        <w:spacing w:after="60" w:before="240"/>
      </w:pPr>
      <w:r>
        <w:rPr>
          <w:b/>
          <w:bCs/>
          <w:color w:val="0E6E5C"/>
          <w:sz w:val="23"/>
          <w:szCs w:val="23"/>
        </w:rPr>
        <w:t xml:space="preserve">Flow 4 — Patient-initiated linking, HIP side (M2)</w:t>
      </w:r>
    </w:p>
    <w:p>
      <w:pPr>
        <w:spacing w:after="120" w:line="268"/>
      </w:pPr>
      <w:r>
        <w:rPr>
          <w:color w:val="222222"/>
          <w:sz w:val="20"/>
          <w:szCs w:val="20"/>
        </w:rPr>
        <w:t xml:space="preserve">The mirror image: the patient starts this from their own PHR app, so the facility's role is purely reactive. This is where the OTP lives.</w:t>
      </w:r>
    </w:p>
    <w:p>
      <w:pPr>
        <w:spacing w:after="100" w:line="268"/>
        <w:ind w:left="420" w:hanging="420"/>
      </w:pPr>
      <w:r>
        <w:rPr>
          <w:b/>
          <w:bCs/>
          <w:color w:val="0E6E5C"/>
          <w:sz w:val="20"/>
          <w:szCs w:val="20"/>
        </w:rPr>
        <w:t xml:space="preserve">1.  </w:t>
      </w:r>
      <w:r>
        <w:rPr>
          <w:b/>
          <w:bCs/>
          <w:color w:val="1F3A5F"/>
          <w:sz w:val="20"/>
          <w:szCs w:val="20"/>
        </w:rPr>
        <w:t xml:space="preserve">Discover</w:t>
      </w:r>
      <w:r>
        <w:rPr>
          <w:color w:val="222222"/>
          <w:sz w:val="20"/>
          <w:szCs w:val="20"/>
        </w:rPr>
        <w:t xml:space="preserve"> — ABDM asks whether we hold records for a patient, passing their verified identifiers. We store that identity, search our records, and reply with what matched — or a clean no-match.</w:t>
      </w:r>
    </w:p>
    <w:p>
      <w:pPr>
        <w:spacing w:after="100" w:line="268"/>
        <w:ind w:left="420" w:hanging="420"/>
      </w:pPr>
      <w:r>
        <w:rPr>
          <w:b/>
          <w:bCs/>
          <w:color w:val="0E6E5C"/>
          <w:sz w:val="20"/>
          <w:szCs w:val="20"/>
        </w:rPr>
        <w:t xml:space="preserve">2.  </w:t>
      </w:r>
      <w:r>
        <w:rPr>
          <w:b/>
          <w:bCs/>
          <w:color w:val="1F3A5F"/>
          <w:sz w:val="20"/>
          <w:szCs w:val="20"/>
        </w:rPr>
        <w:t xml:space="preserve">Link init</w:t>
      </w:r>
      <w:r>
        <w:rPr>
          <w:color w:val="222222"/>
          <w:sz w:val="20"/>
          <w:szCs w:val="20"/>
        </w:rPr>
        <w:t xml:space="preserve"> — the patient chose to link. We request an OTP to their registered mobile, save a link session under a reference number we generate, and tell ABDM the OTP has been sent and when it expires.</w:t>
      </w:r>
    </w:p>
    <w:p>
      <w:pPr>
        <w:spacing w:after="100" w:line="268"/>
        <w:ind w:left="420" w:hanging="420"/>
      </w:pPr>
      <w:r>
        <w:rPr>
          <w:b/>
          <w:bCs/>
          <w:color w:val="0E6E5C"/>
          <w:sz w:val="20"/>
          <w:szCs w:val="20"/>
        </w:rPr>
        <w:t xml:space="preserve">3.  </w:t>
      </w:r>
      <w:r>
        <w:rPr>
          <w:b/>
          <w:bCs/>
          <w:color w:val="1F3A5F"/>
          <w:sz w:val="20"/>
          <w:szCs w:val="20"/>
        </w:rPr>
        <w:t xml:space="preserve">Link confirm</w:t>
      </w:r>
      <w:r>
        <w:rPr>
          <w:color w:val="222222"/>
          <w:sz w:val="20"/>
          <w:szCs w:val="20"/>
        </w:rPr>
        <w:t xml:space="preserve"> — the patient entered the OTP. We check the session exists and the window has not expired, verify the OTP, rebuild the payload for the records they selected, and confirm the link. The records are now linked.</w:t>
      </w:r>
    </w:p>
    <w:p>
      <w:pPr>
        <w:spacing w:after="120" w:line="268"/>
      </w:pPr>
      <w:r>
        <w:rPr>
          <w:color w:val="222222"/>
          <w:sz w:val="20"/>
          <w:szCs w:val="20"/>
        </w:rPr>
        <w:t xml:space="preserve">Steps 2 and 3 both guard against ABDM replaying the same message: a replay re-sends the acknowledgement without requesting a second OTP or re-verifying anything.</w:t>
      </w:r>
    </w:p>
    <w:p>
      <w:pPr>
        <w:pStyle w:val="Heading2"/>
        <w:spacing w:after="60" w:before="240"/>
      </w:pPr>
      <w:r>
        <w:rPr>
          <w:b/>
          <w:bCs/>
          <w:color w:val="0E6E5C"/>
          <w:sz w:val="23"/>
          <w:szCs w:val="23"/>
        </w:rPr>
        <w:t xml:space="preserve">Flow 5 — Consent granted, then data pushed out (M2)</w:t>
      </w:r>
    </w:p>
    <w:p>
      <w:pPr>
        <w:spacing w:after="120" w:line="268"/>
      </w:pPr>
      <w:r>
        <w:rPr>
          <w:color w:val="222222"/>
          <w:sz w:val="20"/>
          <w:szCs w:val="20"/>
        </w:rPr>
        <w:t xml:space="preserve">This is the payoff flow on the HIP side, and it is fully automatic once the patient grants consent.</w:t>
      </w:r>
    </w:p>
    <w:p>
      <w:pPr>
        <w:spacing w:after="100" w:line="268"/>
        <w:ind w:left="420" w:hanging="420"/>
      </w:pPr>
      <w:r>
        <w:rPr>
          <w:b/>
          <w:bCs/>
          <w:color w:val="0E6E5C"/>
          <w:sz w:val="20"/>
          <w:szCs w:val="20"/>
        </w:rPr>
        <w:t xml:space="preserve">1.  </w:t>
      </w:r>
      <w:r>
        <w:rPr>
          <w:b/>
          <w:bCs/>
          <w:color w:val="1F3A5F"/>
          <w:sz w:val="20"/>
          <w:szCs w:val="20"/>
        </w:rPr>
        <w:t xml:space="preserve">Consent notification</w:t>
      </w:r>
      <w:r>
        <w:rPr>
          <w:color w:val="222222"/>
          <w:sz w:val="20"/>
          <w:szCs w:val="20"/>
        </w:rPr>
        <w:t xml:space="preserve"> — ABDM tells us a consent's status changed. On GRANTED we store the approved care contexts, HI types and date range; on REVOKED or EXPIRED we delete the stored artefact. Either way we acknowledge, and then wait.</w:t>
      </w:r>
    </w:p>
    <w:p>
      <w:pPr>
        <w:spacing w:after="100" w:line="268"/>
        <w:ind w:left="420" w:hanging="420"/>
      </w:pPr>
      <w:r>
        <w:rPr>
          <w:b/>
          <w:bCs/>
          <w:color w:val="0E6E5C"/>
          <w:sz w:val="20"/>
          <w:szCs w:val="20"/>
        </w:rPr>
        <w:t xml:space="preserve">2.  </w:t>
      </w:r>
      <w:r>
        <w:rPr>
          <w:b/>
          <w:bCs/>
          <w:color w:val="1F3A5F"/>
          <w:sz w:val="20"/>
          <w:szCs w:val="20"/>
        </w:rPr>
        <w:t xml:space="preserve">Data request</w:t>
      </w:r>
      <w:r>
        <w:rPr>
          <w:color w:val="222222"/>
          <w:sz w:val="20"/>
          <w:szCs w:val="20"/>
        </w:rPr>
        <w:t xml:space="preserve"> — the HIU asks for the data. The request carries the consent ID, the approved care contexts, the HIU's public key and nonce, and the URL to push to.</w:t>
      </w:r>
    </w:p>
    <w:p>
      <w:pPr>
        <w:spacing w:after="100" w:line="268"/>
        <w:ind w:left="420" w:hanging="420"/>
      </w:pPr>
      <w:r>
        <w:rPr>
          <w:b/>
          <w:bCs/>
          <w:color w:val="0E6E5C"/>
          <w:sz w:val="20"/>
          <w:szCs w:val="20"/>
        </w:rPr>
        <w:t xml:space="preserve">3.  </w:t>
      </w:r>
      <w:r>
        <w:rPr>
          <w:b/>
          <w:bCs/>
          <w:color w:val="1F3A5F"/>
          <w:sz w:val="20"/>
          <w:szCs w:val="20"/>
        </w:rPr>
        <w:t xml:space="preserve">Assemble the records</w:t>
      </w:r>
      <w:r>
        <w:rPr>
          <w:color w:val="222222"/>
          <w:sz w:val="20"/>
          <w:szCs w:val="20"/>
        </w:rPr>
        <w:t xml:space="preserve"> — one FHIR document bundle per approved care context, with the underlying clinical rows filtered to the consented date range and file attachments built per HI type.</w:t>
      </w:r>
    </w:p>
    <w:p>
      <w:pPr>
        <w:spacing w:after="100" w:line="268"/>
        <w:ind w:left="420" w:hanging="420"/>
      </w:pPr>
      <w:r>
        <w:rPr>
          <w:b/>
          <w:bCs/>
          <w:color w:val="0E6E5C"/>
          <w:sz w:val="20"/>
          <w:szCs w:val="20"/>
        </w:rPr>
        <w:t xml:space="preserve">4.  </w:t>
      </w:r>
      <w:r>
        <w:rPr>
          <w:b/>
          <w:bCs/>
          <w:color w:val="1F3A5F"/>
          <w:sz w:val="20"/>
          <w:szCs w:val="20"/>
        </w:rPr>
        <w:t xml:space="preserve">Acknowledge the request</w:t>
      </w:r>
      <w:r>
        <w:rPr>
          <w:color w:val="222222"/>
          <w:sz w:val="20"/>
          <w:szCs w:val="20"/>
        </w:rPr>
        <w:t xml:space="preserve"> — before the heavy work is delivered, so ABDM is not left waiting.</w:t>
      </w:r>
    </w:p>
    <w:p>
      <w:pPr>
        <w:spacing w:after="100" w:line="268"/>
        <w:ind w:left="420" w:hanging="420"/>
      </w:pPr>
      <w:r>
        <w:rPr>
          <w:b/>
          <w:bCs/>
          <w:color w:val="0E6E5C"/>
          <w:sz w:val="20"/>
          <w:szCs w:val="20"/>
        </w:rPr>
        <w:t xml:space="preserve">5.  </w:t>
      </w:r>
      <w:r>
        <w:rPr>
          <w:b/>
          <w:bCs/>
          <w:color w:val="1F3A5F"/>
          <w:sz w:val="20"/>
          <w:szCs w:val="20"/>
        </w:rPr>
        <w:t xml:space="preserve">Encrypt and push</w:t>
      </w:r>
      <w:r>
        <w:rPr>
          <w:color w:val="222222"/>
          <w:sz w:val="20"/>
          <w:szCs w:val="20"/>
        </w:rPr>
        <w:t xml:space="preserve"> — fresh key material is generated for the transaction, each bundle is encrypted for that specific HIU using ECDH, checksummed, and pushed directly to the HIU's own URL — not through the gateway.</w:t>
      </w:r>
    </w:p>
    <w:p>
      <w:pPr>
        <w:spacing w:after="100" w:line="268"/>
        <w:ind w:left="420" w:hanging="420"/>
      </w:pPr>
      <w:r>
        <w:rPr>
          <w:b/>
          <w:bCs/>
          <w:color w:val="0E6E5C"/>
          <w:sz w:val="20"/>
          <w:szCs w:val="20"/>
        </w:rPr>
        <w:t xml:space="preserve">6.  </w:t>
      </w:r>
      <w:r>
        <w:rPr>
          <w:b/>
          <w:bCs/>
          <w:color w:val="1F3A5F"/>
          <w:sz w:val="20"/>
          <w:szCs w:val="20"/>
        </w:rPr>
        <w:t xml:space="preserve">Notify the outcome</w:t>
      </w:r>
      <w:r>
        <w:rPr>
          <w:color w:val="222222"/>
          <w:sz w:val="20"/>
          <w:szCs w:val="20"/>
        </w:rPr>
        <w:t xml:space="preserve"> — we tell ABDM whether the transfer succeeded or failed.</w:t>
      </w:r>
    </w:p>
    <w:p>
      <w:pPr>
        <w:pStyle w:val="Heading2"/>
        <w:spacing w:after="60" w:before="240"/>
      </w:pPr>
      <w:r>
        <w:rPr>
          <w:b/>
          <w:bCs/>
          <w:color w:val="0E6E5C"/>
          <w:sz w:val="23"/>
          <w:szCs w:val="23"/>
        </w:rPr>
        <w:t xml:space="preserve">Flow 6 — Requesting consent as an HIU (M3, Block 1)</w:t>
      </w:r>
    </w:p>
    <w:p>
      <w:pPr>
        <w:spacing w:after="120" w:line="268"/>
      </w:pPr>
      <w:r>
        <w:rPr>
          <w:color w:val="222222"/>
          <w:sz w:val="20"/>
          <w:szCs w:val="20"/>
        </w:rPr>
        <w:t xml:space="preserve">Started from the M3 CLI; everything after the first call completes server-side.</w:t>
      </w:r>
    </w:p>
    <w:p>
      <w:pPr>
        <w:spacing w:after="100" w:line="268"/>
        <w:ind w:left="420" w:hanging="420"/>
      </w:pPr>
      <w:r>
        <w:rPr>
          <w:b/>
          <w:bCs/>
          <w:color w:val="0E6E5C"/>
          <w:sz w:val="20"/>
          <w:szCs w:val="20"/>
        </w:rPr>
        <w:t xml:space="preserve">1.  </w:t>
      </w:r>
      <w:r>
        <w:rPr>
          <w:b/>
          <w:bCs/>
          <w:color w:val="1F3A5F"/>
          <w:sz w:val="20"/>
          <w:szCs w:val="20"/>
        </w:rPr>
        <w:t xml:space="preserve">Initiate the consent request</w:t>
      </w:r>
      <w:r>
        <w:rPr>
          <w:color w:val="222222"/>
          <w:sz w:val="20"/>
          <w:szCs w:val="20"/>
        </w:rPr>
        <w:t xml:space="preserve"> — naming the patient, the purpose, the HI types and the date range. ABDM returns 202 and we stash a pending session under our request ID.</w:t>
      </w:r>
    </w:p>
    <w:p>
      <w:pPr>
        <w:spacing w:after="100" w:line="268"/>
        <w:ind w:left="420" w:hanging="420"/>
      </w:pPr>
      <w:r>
        <w:rPr>
          <w:b/>
          <w:bCs/>
          <w:color w:val="0E6E5C"/>
          <w:sz w:val="20"/>
          <w:szCs w:val="20"/>
        </w:rPr>
        <w:t xml:space="preserve">2.  </w:t>
      </w:r>
      <w:r>
        <w:rPr>
          <w:b/>
          <w:bCs/>
          <w:color w:val="1F3A5F"/>
          <w:sz w:val="20"/>
          <w:szCs w:val="20"/>
        </w:rPr>
        <w:t xml:space="preserve">ABDM acknowledges</w:t>
      </w:r>
      <w:r>
        <w:rPr>
          <w:color w:val="222222"/>
          <w:sz w:val="20"/>
          <w:szCs w:val="20"/>
        </w:rPr>
        <w:t xml:space="preserve"> — and gives us the real consent-request ID, which we record against our session — later callbacks arrive keyed by that ID rather than by ours. Then we wait for the patient, who may take any amount of time.</w:t>
      </w:r>
    </w:p>
    <w:p>
      <w:pPr>
        <w:spacing w:after="100" w:line="268"/>
        <w:ind w:left="420" w:hanging="420"/>
      </w:pPr>
      <w:r>
        <w:rPr>
          <w:b/>
          <w:bCs/>
          <w:color w:val="0E6E5C"/>
          <w:sz w:val="20"/>
          <w:szCs w:val="20"/>
        </w:rPr>
        <w:t xml:space="preserve">3.  </w:t>
      </w:r>
      <w:r>
        <w:rPr>
          <w:b/>
          <w:bCs/>
          <w:color w:val="1F3A5F"/>
          <w:sz w:val="20"/>
          <w:szCs w:val="20"/>
        </w:rPr>
        <w:t xml:space="preserve">The patient decides</w:t>
      </w:r>
      <w:r>
        <w:rPr>
          <w:color w:val="222222"/>
          <w:sz w:val="20"/>
          <w:szCs w:val="20"/>
        </w:rPr>
        <w:t xml:space="preserve"> — a notify callback tells us the outcome. On GRANTED we immediately fetch each granted artefact (there can be several, for a multi-facility grant); on REVOKED or EXPIRED we delete what we stored.</w:t>
      </w:r>
    </w:p>
    <w:p>
      <w:pPr>
        <w:spacing w:after="100" w:line="268"/>
        <w:ind w:left="420" w:hanging="420"/>
      </w:pPr>
      <w:r>
        <w:rPr>
          <w:b/>
          <w:bCs/>
          <w:color w:val="0E6E5C"/>
          <w:sz w:val="20"/>
          <w:szCs w:val="20"/>
        </w:rPr>
        <w:t xml:space="preserve">4.  </w:t>
      </w:r>
      <w:r>
        <w:rPr>
          <w:b/>
          <w:bCs/>
          <w:color w:val="1F3A5F"/>
          <w:sz w:val="20"/>
          <w:szCs w:val="20"/>
        </w:rPr>
        <w:t xml:space="preserve">The artefact arrives</w:t>
      </w:r>
      <w:r>
        <w:rPr>
          <w:color w:val="222222"/>
          <w:sz w:val="20"/>
          <w:szCs w:val="20"/>
        </w:rPr>
        <w:t xml:space="preserve"> — the on-fetch callback carries the full consent detail. Before storing it we verify the callback correlates back to a fetch we actually made, for that exact consent ID — an unsolicited artefact is rejected outright.</w:t>
      </w:r>
    </w:p>
    <w:p>
      <w:pPr>
        <w:spacing w:after="100" w:line="268"/>
        <w:ind w:left="420" w:hanging="420"/>
      </w:pPr>
      <w:r>
        <w:rPr>
          <w:b/>
          <w:bCs/>
          <w:color w:val="0E6E5C"/>
          <w:sz w:val="20"/>
          <w:szCs w:val="20"/>
        </w:rPr>
        <w:t xml:space="preserve">5.  </w:t>
      </w:r>
      <w:r>
        <w:rPr>
          <w:b/>
          <w:bCs/>
          <w:color w:val="1F3A5F"/>
          <w:sz w:val="20"/>
          <w:szCs w:val="20"/>
        </w:rPr>
        <w:t xml:space="preserve">Optionally continue</w:t>
      </w:r>
      <w:r>
        <w:rPr>
          <w:color w:val="222222"/>
          <w:sz w:val="20"/>
          <w:szCs w:val="20"/>
        </w:rPr>
        <w:t xml:space="preserve"> — whether this rolls straight into requesting the data is a configuration decision, not hardcoded. Today the default is manual.</w:t>
      </w:r>
    </w:p>
    <w:p>
      <w:pPr>
        <w:pStyle w:val="Heading2"/>
        <w:spacing w:after="60" w:before="240"/>
      </w:pPr>
      <w:r>
        <w:rPr>
          <w:b/>
          <w:bCs/>
          <w:color w:val="0E6E5C"/>
          <w:sz w:val="23"/>
          <w:szCs w:val="23"/>
        </w:rPr>
        <w:t xml:space="preserve">Flow 7 — Fetching the data as an HIU (M3, Block 2)</w:t>
      </w:r>
    </w:p>
    <w:p>
      <w:pPr>
        <w:spacing w:after="100" w:line="268"/>
        <w:ind w:left="420" w:hanging="420"/>
      </w:pPr>
      <w:r>
        <w:rPr>
          <w:b/>
          <w:bCs/>
          <w:color w:val="0E6E5C"/>
          <w:sz w:val="20"/>
          <w:szCs w:val="20"/>
        </w:rPr>
        <w:t xml:space="preserve">1.  </w:t>
      </w:r>
      <w:r>
        <w:rPr>
          <w:b/>
          <w:bCs/>
          <w:color w:val="1F3A5F"/>
          <w:sz w:val="20"/>
          <w:szCs w:val="20"/>
        </w:rPr>
        <w:t xml:space="preserve">Request the health information</w:t>
      </w:r>
      <w:r>
        <w:rPr>
          <w:color w:val="222222"/>
          <w:sz w:val="20"/>
          <w:szCs w:val="20"/>
        </w:rPr>
        <w:t xml:space="preserve"> — we check locally that the consent is GRANTED and that the requested date range sits inside the consent's own approved range — both cheap checks that avoid a pointless round trip — generate fresh ECDH key material, and send the request with our public key and the URL we want the data pushed to.</w:t>
      </w:r>
    </w:p>
    <w:p>
      <w:pPr>
        <w:spacing w:after="100" w:line="268"/>
        <w:ind w:left="420" w:hanging="420"/>
      </w:pPr>
      <w:r>
        <w:rPr>
          <w:b/>
          <w:bCs/>
          <w:color w:val="0E6E5C"/>
          <w:sz w:val="20"/>
          <w:szCs w:val="20"/>
        </w:rPr>
        <w:t xml:space="preserve">2.  </w:t>
      </w:r>
      <w:r>
        <w:rPr>
          <w:b/>
          <w:bCs/>
          <w:color w:val="1F3A5F"/>
          <w:sz w:val="20"/>
          <w:szCs w:val="20"/>
        </w:rPr>
        <w:t xml:space="preserve">ABDM acknowledges</w:t>
      </w:r>
      <w:r>
        <w:rPr>
          <w:color w:val="222222"/>
          <w:sz w:val="20"/>
          <w:szCs w:val="20"/>
        </w:rPr>
        <w:t xml:space="preserve"> — returning a transaction ID, which we record against our pending session. A transaction ID already bound to a different request is refused rather than relinked, since crossing two sessions would cross their encryption keys.</w:t>
      </w:r>
    </w:p>
    <w:p>
      <w:pPr>
        <w:spacing w:after="100" w:line="268"/>
        <w:ind w:left="420" w:hanging="420"/>
      </w:pPr>
      <w:r>
        <w:rPr>
          <w:b/>
          <w:bCs/>
          <w:color w:val="0E6E5C"/>
          <w:sz w:val="20"/>
          <w:szCs w:val="20"/>
        </w:rPr>
        <w:t xml:space="preserve">3.  </w:t>
      </w:r>
      <w:r>
        <w:rPr>
          <w:b/>
          <w:bCs/>
          <w:color w:val="1F3A5F"/>
          <w:sz w:val="20"/>
          <w:szCs w:val="20"/>
        </w:rPr>
        <w:t xml:space="preserve">The HIP pushes the data</w:t>
      </w:r>
      <w:r>
        <w:rPr>
          <w:color w:val="222222"/>
          <w:sz w:val="20"/>
          <w:szCs w:val="20"/>
        </w:rPr>
        <w:t xml:space="preserve"> — directly to our URL, bypassing the gateway entirely — the only inbound call in the system that does not come from ABDM.</w:t>
      </w:r>
    </w:p>
    <w:p>
      <w:pPr>
        <w:spacing w:after="100" w:line="268"/>
        <w:ind w:left="420" w:hanging="420"/>
      </w:pPr>
      <w:r>
        <w:rPr>
          <w:b/>
          <w:bCs/>
          <w:color w:val="0E6E5C"/>
          <w:sz w:val="20"/>
          <w:szCs w:val="20"/>
        </w:rPr>
        <w:t xml:space="preserve">4.  </w:t>
      </w:r>
      <w:r>
        <w:rPr>
          <w:b/>
          <w:bCs/>
          <w:color w:val="1F3A5F"/>
          <w:sz w:val="20"/>
          <w:szCs w:val="20"/>
        </w:rPr>
        <w:t xml:space="preserve">Verify and decrypt</w:t>
      </w:r>
      <w:r>
        <w:rPr>
          <w:color w:val="222222"/>
          <w:sz w:val="20"/>
          <w:szCs w:val="20"/>
        </w:rPr>
        <w:t xml:space="preserve"> — each entry's checksum is verified, each care context is checked against what the consent actually covered, and the content is decrypted with our stored key material and the HIP's public key.</w:t>
      </w:r>
    </w:p>
    <w:p>
      <w:pPr>
        <w:spacing w:after="100" w:line="268"/>
        <w:ind w:left="420" w:hanging="420"/>
      </w:pPr>
      <w:r>
        <w:rPr>
          <w:b/>
          <w:bCs/>
          <w:color w:val="0E6E5C"/>
          <w:sz w:val="20"/>
          <w:szCs w:val="20"/>
        </w:rPr>
        <w:t xml:space="preserve">5.  </w:t>
      </w:r>
      <w:r>
        <w:rPr>
          <w:b/>
          <w:bCs/>
          <w:color w:val="1F3A5F"/>
          <w:sz w:val="20"/>
          <w:szCs w:val="20"/>
        </w:rPr>
        <w:t xml:space="preserve">Store and notify</w:t>
      </w:r>
      <w:r>
        <w:rPr>
          <w:color w:val="222222"/>
          <w:sz w:val="20"/>
          <w:szCs w:val="20"/>
        </w:rPr>
        <w:t xml:space="preserve"> — the decrypted bundles are stored against the transaction, and ABDM is notified of the outcome.</w:t>
      </w:r>
    </w:p>
    <w:p>
      <w:pPr>
        <w:pStyle w:val="Heading2"/>
        <w:spacing w:after="60" w:before="240"/>
      </w:pPr>
      <w:r>
        <w:rPr>
          <w:b/>
          <w:bCs/>
          <w:color w:val="0E6E5C"/>
          <w:sz w:val="23"/>
          <w:szCs w:val="23"/>
        </w:rPr>
        <w:t xml:space="preserve">Flow 8 — Bridge and gateway administration (M2)</w:t>
      </w:r>
    </w:p>
    <w:p>
      <w:pPr>
        <w:spacing w:after="120" w:line="268"/>
      </w:pPr>
      <w:r>
        <w:rPr>
          <w:color w:val="222222"/>
          <w:sz w:val="20"/>
          <w:szCs w:val="20"/>
        </w:rPr>
        <w:t xml:space="preserve">Four small synchronous calls, no callbacks: update our registered callback URL with the gateway (needed whenever the tunnel domain changes), register our bridge as a service against a facility, look up a bridge service by its service ID, and list all services registered under our bridge.</w:t>
      </w:r>
    </w:p>
    <w:p>
      <w:pPr>
        <w:pStyle w:val="Heading1"/>
        <w:pBdr>
          <w:bottom w:val="single" w:color="0E6E5C" w:sz="8" w:space="3"/>
        </w:pBdr>
        <w:spacing w:after="100" w:before="320"/>
      </w:pPr>
      <w:r>
        <w:rPr>
          <w:b/>
          <w:bCs/>
          <w:color w:val="1F3A5F"/>
          <w:sz w:val="28"/>
          <w:szCs w:val="28"/>
        </w:rPr>
        <w:t xml:space="preserve">6. Mechanics that apply to every flow</w:t>
      </w:r>
    </w:p>
    <w:p>
      <w:pPr>
        <w:spacing w:after="120" w:line="268"/>
      </w:pPr>
      <w:r>
        <w:rPr>
          <w:b/>
          <w:bCs/>
          <w:color w:val="222222"/>
          <w:sz w:val="20"/>
          <w:szCs w:val="20"/>
        </w:rPr>
        <w:t xml:space="preserve">Authentication on the way in. </w:t>
      </w:r>
      <w:r>
        <w:rPr>
          <w:color w:val="222222"/>
          <w:sz w:val="20"/>
          <w:szCs w:val="20"/>
        </w:rPr>
        <w:t xml:space="preserve">Every callback route verifies ABDM's bearer JWT against their live key set before any application code runs. An unverified request gets a 401 and never reaches a service.</w:t>
      </w:r>
    </w:p>
    <w:p>
      <w:pPr>
        <w:spacing w:after="120" w:line="268"/>
      </w:pPr>
      <w:r>
        <w:rPr>
          <w:b/>
          <w:bCs/>
          <w:color w:val="222222"/>
          <w:sz w:val="20"/>
          <w:szCs w:val="20"/>
        </w:rPr>
        <w:t xml:space="preserve">Authentication on the way out. </w:t>
      </w:r>
      <w:r>
        <w:rPr>
          <w:color w:val="222222"/>
          <w:sz w:val="20"/>
          <w:szCs w:val="20"/>
        </w:rPr>
        <w:t xml:space="preserve">Outbound calls carry a Gateway token that is cached and refreshed automatically three minutes before it expires, so flows never stall on an expired token mid-chain.</w:t>
      </w:r>
    </w:p>
    <w:p>
      <w:pPr>
        <w:spacing w:after="120" w:line="268"/>
      </w:pPr>
      <w:r>
        <w:rPr>
          <w:b/>
          <w:bCs/>
          <w:color w:val="222222"/>
          <w:sz w:val="20"/>
          <w:szCs w:val="20"/>
        </w:rPr>
        <w:t xml:space="preserve">Replay protection. </w:t>
      </w:r>
      <w:r>
        <w:rPr>
          <w:color w:val="222222"/>
          <w:sz w:val="20"/>
          <w:szCs w:val="20"/>
        </w:rPr>
        <w:t xml:space="preserve">ABDM retries a callback it thinks was not acknowledged, reusing the same request ID. Services that change state check whether they have already handled that ID; a replay re-sends the acknowledgement but does not redo the work.</w:t>
      </w:r>
    </w:p>
    <w:p>
      <w:pPr>
        <w:spacing w:after="120" w:line="268"/>
      </w:pPr>
      <w:r>
        <w:rPr>
          <w:b/>
          <w:bCs/>
          <w:color w:val="222222"/>
          <w:sz w:val="20"/>
          <w:szCs w:val="20"/>
        </w:rPr>
        <w:t xml:space="preserve">Correlation. </w:t>
      </w:r>
      <w:r>
        <w:rPr>
          <w:color w:val="222222"/>
          <w:sz w:val="20"/>
          <w:szCs w:val="20"/>
        </w:rPr>
        <w:t xml:space="preserve">Every flow that spans callbacks saves a pending session before the outbound call and looks it up when the callback lands. Two flows store the same session under two different keys, because ABDM's later callbacks arrive keyed by an identifier ABDM itself assigned rather than by ours.</w:t>
      </w:r>
    </w:p>
    <w:p>
      <w:pPr>
        <w:spacing w:after="120" w:line="268"/>
      </w:pPr>
      <w:r>
        <w:rPr>
          <w:b/>
          <w:bCs/>
          <w:color w:val="222222"/>
          <w:sz w:val="20"/>
          <w:szCs w:val="20"/>
        </w:rPr>
        <w:t xml:space="preserve">Retries. </w:t>
      </w:r>
      <w:r>
        <w:rPr>
          <w:color w:val="222222"/>
          <w:sz w:val="20"/>
          <w:szCs w:val="20"/>
        </w:rPr>
        <w:t xml:space="preserve">Outbound calls go through one shared retry wrapper that retries only genuinely transient failures — connection errors, timeouts, and responses of 5xx, 429 or 408 — with a flat delay and no backoff. Any other 4xx is returned immediately on the first attempt, never retried.</w:t>
      </w:r>
    </w:p>
    <w:p>
      <w:pPr>
        <w:spacing w:after="120" w:line="268"/>
      </w:pPr>
      <w:r>
        <w:rPr>
          <w:b/>
          <w:bCs/>
          <w:color w:val="222222"/>
          <w:sz w:val="20"/>
          <w:szCs w:val="20"/>
        </w:rPr>
        <w:t xml:space="preserve">The dispatcher never fails. </w:t>
      </w:r>
      <w:r>
        <w:rPr>
          <w:color w:val="222222"/>
          <w:sz w:val="20"/>
          <w:szCs w:val="20"/>
        </w:rPr>
        <w:t xml:space="preserve">Whatever happens inside our processing, ABDM gets its acknowledgement. Errors are caught and logged rather than surfacing as a 500, because a failed acknowledgement triggers a retry storm.</w:t>
      </w:r>
    </w:p>
    <w:p>
      <w:pPr>
        <w:spacing w:after="120" w:line="268"/>
      </w:pPr>
      <w:r>
        <w:rPr>
          <w:b/>
          <w:bCs/>
          <w:color w:val="222222"/>
          <w:sz w:val="20"/>
          <w:szCs w:val="20"/>
        </w:rPr>
        <w:t xml:space="preserve">Two roles, one event loop. </w:t>
      </w:r>
      <w:r>
        <w:rPr>
          <w:color w:val="222222"/>
          <w:sz w:val="20"/>
          <w:szCs w:val="20"/>
        </w:rPr>
        <w:t xml:space="preserve">Because this process serves both the HIP and HIU sides, every blocking network call inside a callback handler is pushed onto a worker thread. A synchronous call left in an async handler would block every other in-flight request.</w:t>
      </w:r>
    </w:p>
    <w:p>
      <w:pPr>
        <w:spacing w:after="120" w:line="268"/>
      </w:pPr>
      <w:r>
        <w:rPr>
          <w:b/>
          <w:bCs/>
          <w:color w:val="222222"/>
          <w:sz w:val="20"/>
          <w:szCs w:val="20"/>
        </w:rPr>
        <w:t xml:space="preserve">Everything is recorded twice. </w:t>
      </w:r>
      <w:r>
        <w:rPr>
          <w:color w:val="222222"/>
          <w:sz w:val="20"/>
          <w:szCs w:val="20"/>
        </w:rPr>
        <w:t xml:space="preserve">A readable narrative log per milestone per day, and a full request/response capture of every exchange. When a flow misbehaves, the narrative log tells you where it stopped and the capture tells you exactly what was sent.</w:t>
      </w:r>
    </w:p>
    <w:p>
      <w:pPr>
        <w:pStyle w:val="Heading1"/>
        <w:pBdr>
          <w:bottom w:val="single" w:color="0E6E5C" w:sz="8" w:space="3"/>
        </w:pBdr>
        <w:spacing w:after="100" w:before="320"/>
      </w:pPr>
      <w:r>
        <w:rPr>
          <w:b/>
          <w:bCs/>
          <w:color w:val="1F3A5F"/>
          <w:sz w:val="28"/>
          <w:szCs w:val="28"/>
        </w:rPr>
        <w:t xml:space="preserve">7. Things worth knowing before you change anything</w:t>
      </w:r>
    </w:p>
    <w:p>
      <w:pPr>
        <w:spacing w:after="120" w:line="268"/>
      </w:pPr>
      <w:r>
        <w:rPr>
          <w:b/>
          <w:bCs/>
          <w:color w:val="222222"/>
          <w:sz w:val="20"/>
          <w:szCs w:val="20"/>
        </w:rPr>
        <w:t xml:space="preserve">The HIP and HIU stores are deliberately separate. </w:t>
      </w:r>
      <w:r>
        <w:rPr>
          <w:color w:val="222222"/>
          <w:sz w:val="20"/>
          <w:szCs w:val="20"/>
        </w:rPr>
        <w:t xml:space="preserve">Consents we received as a facility and consents we fetched as an app live in different tables even though both roles run in one process. Merging them would let one role's code misread the other's data.</w:t>
      </w:r>
    </w:p>
    <w:p>
      <w:pPr>
        <w:spacing w:after="120" w:line="268"/>
      </w:pPr>
      <w:r>
        <w:rPr>
          <w:b/>
          <w:bCs/>
          <w:color w:val="222222"/>
          <w:sz w:val="20"/>
          <w:szCs w:val="20"/>
        </w:rPr>
        <w:t xml:space="preserve">One consent store enforces the project's core security rule. </w:t>
      </w:r>
      <w:r>
        <w:rPr>
          <w:color w:val="222222"/>
          <w:sz w:val="20"/>
          <w:szCs w:val="20"/>
        </w:rPr>
        <w:t xml:space="preserve">A consent is usable for fetching data only if our own registration raised and fetched it. A consent that exists and shows as granted elsewhere in ABDM is structurally invisible here — by design, not by oversight.</w:t>
      </w:r>
    </w:p>
    <w:p>
      <w:pPr>
        <w:spacing w:after="120" w:line="268"/>
      </w:pPr>
      <w:r>
        <w:rPr>
          <w:b/>
          <w:bCs/>
          <w:color w:val="222222"/>
          <w:sz w:val="20"/>
          <w:szCs w:val="20"/>
        </w:rPr>
        <w:t xml:space="preserve">The .jsonl files under storage/ are no longer live. </w:t>
      </w:r>
      <w:r>
        <w:rPr>
          <w:color w:val="222222"/>
          <w:sz w:val="20"/>
          <w:szCs w:val="20"/>
        </w:rPr>
        <w:t xml:space="preserve">State moved to Postgres; those files are kept untouched as an audit trail. Do not write to them, and do not assume they reflect current state.</w:t>
      </w:r>
    </w:p>
    <w:p>
      <w:pPr>
        <w:spacing w:after="120" w:line="268"/>
      </w:pPr>
      <w:r>
        <w:rPr>
          <w:b/>
          <w:bCs/>
          <w:color w:val="222222"/>
          <w:sz w:val="20"/>
          <w:szCs w:val="20"/>
        </w:rPr>
        <w:t xml:space="preserve">The dummy EMR generator is additive only. </w:t>
      </w:r>
      <w:r>
        <w:rPr>
          <w:color w:val="222222"/>
          <w:sz w:val="20"/>
          <w:szCs w:val="20"/>
        </w:rPr>
        <w:t xml:space="preserve">The original twelve encounters are frozen because some are already linked in the live sandbox. Regenerating them would break real links.</w:t>
      </w:r>
    </w:p>
    <w:p>
      <w:pPr>
        <w:spacing w:after="120" w:line="268"/>
      </w:pPr>
      <w:r>
        <w:rPr>
          <w:b/>
          <w:bCs/>
          <w:color w:val="222222"/>
          <w:sz w:val="20"/>
          <w:szCs w:val="20"/>
        </w:rPr>
        <w:t xml:space="preserve">Two generator scripts must be run together. </w:t>
      </w:r>
      <w:r>
        <w:rPr>
          <w:color w:val="222222"/>
          <w:sz w:val="20"/>
          <w:szCs w:val="20"/>
        </w:rPr>
        <w:t xml:space="preserve">Patient data and the care-context lookup come from different scripts off the same source and will silently drift apart if only one is re-run.</w:t>
      </w:r>
    </w:p>
    <w:p>
      <w:pPr>
        <w:spacing w:after="120" w:line="268"/>
      </w:pPr>
      <w:r>
        <w:rPr>
          <w:b/>
          <w:bCs/>
          <w:color w:val="222222"/>
          <w:sz w:val="20"/>
          <w:szCs w:val="20"/>
        </w:rPr>
        <w:t xml:space="preserve">Nothing async works without the tunnel. </w:t>
      </w:r>
      <w:r>
        <w:rPr>
          <w:color w:val="222222"/>
          <w:sz w:val="20"/>
          <w:szCs w:val="20"/>
        </w:rPr>
        <w:t xml:space="preserve">If the public callback URL is not reachable, outbound calls still return 202 and then nothing further happens. A flow that appears to hang is almost always this.</w:t>
      </w:r>
    </w:p>
    <w:p>
      <w:pPr>
        <w:spacing w:after="120" w:line="268"/>
      </w:pPr>
      <w:r>
        <w:rPr>
          <w:b/>
          <w:bCs/>
          <w:color w:val="222222"/>
          <w:sz w:val="20"/>
          <w:szCs w:val="20"/>
        </w:rPr>
        <w:t xml:space="preserve">Several known ABDM quirks are already handled in code. </w:t>
      </w:r>
      <w:r>
        <w:rPr>
          <w:color w:val="222222"/>
          <w:sz w:val="20"/>
          <w:szCs w:val="20"/>
        </w:rPr>
        <w:t xml:space="preserve">Duplicate link-token requests are rejected by ABDM, so tokens are reused. A timing race on care-context notify is retried once. ABDM's ABHA number must be sent as plain digits and gender as a single letter. These are documented at each call site — read the docstring before changing a payload.</w:t>
      </w:r>
    </w:p>
    <w:p>
      <w:pPr>
        <w:spacing w:after="120" w:line="268"/>
      </w:pPr>
      <w:r>
        <w:rPr>
          <w:b/>
          <w:bCs/>
          <w:color w:val="222222"/>
          <w:sz w:val="20"/>
          <w:szCs w:val="20"/>
        </w:rPr>
        <w:t xml:space="preserve">Comments are the documentation. </w:t>
      </w:r>
      <w:r>
        <w:rPr>
          <w:color w:val="222222"/>
          <w:sz w:val="20"/>
          <w:szCs w:val="20"/>
        </w:rPr>
        <w:t xml:space="preserve">Most non-obvious decisions in this codebase carry a dated comment explaining what was confirmed against the spec, what was confirmed against a live capture, and what is still unverified. A docstring flagging something as UNCONFIRMED is a to-do, not a disclaimer.</w:t>
      </w:r>
    </w:p>
    <w:p>
      <w:pPr>
        <w:pStyle w:val="Heading1"/>
      </w:pPr>
      <w:r>
        <w:t>8. The PHR locker no longer depends on this repository</w:t>
      </w:r>
    </w:p>
    <w:p>
      <w:r>
        <w:t>The PHR app used to import this project's server package at runtime for its whole consent and data-flow chain. It no longer does: it runs as its own registered ABDM entity, with its own client id, callback URL, port and section 6/7 stack. Nothing in this repository is required for it to work, and nothing here should be changed on its behalf again.</w:t>
      </w:r>
    </w:p>
    <w:p>
      <w:pPr>
        <w:pStyle w:val="Heading2"/>
      </w:pPr>
      <w:r>
        <w:t>What was added here for the locker, and what it is still for</w:t>
      </w:r>
    </w:p>
    <w:p>
      <w:r>
        <w:t>initiate_consent_request() in hiu_consent.py takes optional hip_id and care_contexts, sent as literal null when absent. Additive -- every existing caller is unchanged. An 8.3.11 alert names the exact HIP and care contexts that became available, and a consent raised in response should cover those rather than everything.</w:t>
      </w:r>
    </w:p>
    <w:p>
      <w:r>
        <w:t>HEALTH_INFORMATION_AUTO_TRIGGER_HIU_IDS in config.py is a per-HIU allowlist that bypasses the global trigger mode, so one HIU's consents can fetch data automatically without turning auto-trigger on for every HIU. health_information_trigger.py's _do_trigger() is extracted unchanged from what auto mode did inline, so the allowlist path and the mode path cannot drift apart.</w:t>
      </w:r>
    </w:p>
    <w:p>
      <w:r>
        <w:t>EXTRA_ALLOWED_AZP in jwt_auth.py accepts additional azp claim values on inbound callbacks, read from the environment and empty by default. ABDM's Health Locker callbacks arrive correctly signed but carrying azp=TEST_PHR, a service account beyond 'gateway' and our own client id, and were rejected 401 without this. Signature, iss and exp are still verified against ABDM's live JWKS before azp is inspected, so the security boundary is unchanged: a caller without ABDM's signing key cannot present any azp value at all.</w:t>
      </w:r>
    </w:p>
    <w:p>
      <w:r>
        <w:t>All three now serve the MOUNTED deployment only. The standalone locker calls none of them.</w:t>
      </w:r>
    </w:p>
    <w:p>
      <w:pPr>
        <w:pStyle w:val="Heading2"/>
      </w:pPr>
      <w:r>
        <w:t>tools/migrate_dummy_emr_to_postgres.py</w:t>
      </w:r>
    </w:p>
    <w:p>
      <w:r>
        <w:t>Moves the 13-CSV dummy EMR fixture dataset and patient_records.csv into Postgres -- 1185 rows, idempotent, inserted in foreign-key order so a partial run can simply be re-run.</w:t>
      </w:r>
    </w:p>
    <w:sectPr>
      <w:headerReference w:type="default" r:id="rId7"/>
      <w:footerReference w:type="default" r:id="rId8"/>
      <w:pgSz w:w="12240" w:h="15840"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Aegle Care — ABDM Backend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2026-09-12T11:35:32.425Z</dcterms:created>
  <dcterms:modified xsi:type="dcterms:W3CDTF">2026-09-12T11:35:32.425Z</dcterms:modified>
</cp:coreProperties>
</file>

<file path=docProps/custom.xml><?xml version="1.0" encoding="utf-8"?>
<Properties xmlns="http://schemas.openxmlformats.org/officeDocument/2006/custom-properties" xmlns:vt="http://schemas.openxmlformats.org/officeDocument/2006/docPropsVTypes"/>
</file>