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36"/>
          <w:szCs w:val="36"/>
        </w:rPr>
        <w:t xml:space="preserve">PHR App — Developer Guide</w:t>
      </w:r>
    </w:p>
    <w:p>
      <w:pPr>
        <w:spacing w:after="200"/>
      </w:pPr>
      <w:r>
        <w:rPr>
          <w:i/>
          <w:iCs/>
          <w:color w:val="555555"/>
          <w:sz w:val="19"/>
          <w:szCs w:val="19"/>
        </w:rPr>
        <w:t xml:space="preserve">A walkthrough of the aegle-phr repository: what every file is for, how each flow runs, and an honest account of what is finished and what is not. Companion to the ABDM Backend Developer Guide.</w:t>
      </w:r>
    </w:p>
    <w:p>
      <w:pPr>
        <w:pStyle w:val="Heading1"/>
        <w:pBdr>
          <w:bottom w:val="single" w:color="0E6E5C" w:sz="8" w:space="3"/>
        </w:pBdr>
        <w:spacing w:after="100" w:before="320"/>
      </w:pPr>
      <w:r>
        <w:rPr>
          <w:b/>
          <w:bCs/>
          <w:color w:val="1F3A5F"/>
          <w:sz w:val="28"/>
          <w:szCs w:val="28"/>
        </w:rPr>
        <w:t xml:space="preserve">1. What this repository is</w:t>
      </w:r>
    </w:p>
    <w:p>
      <w:pPr>
        <w:spacing w:after="120" w:line="268"/>
      </w:pPr>
      <w:r>
        <w:rPr>
          <w:color w:val="222222"/>
          <w:sz w:val="20"/>
          <w:szCs w:val="20"/>
        </w:rPr>
        <w:t xml:space="preserve">This is the patient-facing side of the project — the app a patient uses to manage their own ABHA account, see which facilities hold their records, control who may read them, and read those records themselves.</w:t>
      </w:r>
    </w:p>
    <w:p>
      <w:pPr>
        <w:spacing w:after="120" w:line="268"/>
      </w:pPr>
      <w:r>
        <w:rPr>
          <w:color w:val="222222"/>
          <w:sz w:val="20"/>
          <w:szCs w:val="20"/>
        </w:rPr>
        <w:t xml:space="preserve">It is two things in one repository:</w:t>
      </w:r>
    </w:p>
    <w:p>
      <w:pPr>
        <w:spacing w:after="120" w:line="268"/>
      </w:pPr>
      <w:r>
        <w:rPr>
          <w:color w:val="222222"/>
          <w:sz w:val="20"/>
          <w:szCs w:val="20"/>
        </w:rPr>
        <w:t xml:space="preserve">A Python backend (</w:t>
      </w:r>
      <w:r>
        <w:rPr>
          <w:rFonts w:ascii="Consolas" w:cs="Consolas" w:eastAsia="Consolas" w:hAnsi="Consolas"/>
          <w:color w:val="0B4F6C"/>
          <w:sz w:val="18"/>
          <w:szCs w:val="18"/>
        </w:rPr>
        <w:t xml:space="preserve">aegle_phr/</w:t>
      </w:r>
      <w:r>
        <w:rPr>
          <w:b/>
          <w:bCs/>
          <w:color w:val="222222"/>
          <w:sz w:val="20"/>
          <w:szCs w:val="20"/>
        </w:rPr>
        <w:t xml:space="preserve">) — </w:t>
      </w:r>
      <w:r>
        <w:rPr>
          <w:color w:val="222222"/>
          <w:sz w:val="20"/>
          <w:szCs w:val="20"/>
        </w:rPr>
        <w:t xml:space="preserve">which is deliberately not an application. It exposes a router that gets mounted into the ABDM backend's process, because the project has exactly one registered ABDM callback URL and it points at that backend. It can also run standalone on port 8001, but only for solo development.</w:t>
      </w:r>
    </w:p>
    <w:p>
      <w:pPr>
        <w:spacing w:after="120" w:line="268"/>
      </w:pPr>
      <w:r>
        <w:rPr>
          <w:color w:val="222222"/>
          <w:sz w:val="20"/>
          <w:szCs w:val="20"/>
        </w:rPr>
        <w:t xml:space="preserve">A React test UI (</w:t>
      </w:r>
      <w:r>
        <w:rPr>
          <w:rFonts w:ascii="Consolas" w:cs="Consolas" w:eastAsia="Consolas" w:hAnsi="Consolas"/>
          <w:color w:val="0B4F6C"/>
          <w:sz w:val="18"/>
          <w:szCs w:val="18"/>
        </w:rPr>
        <w:t xml:space="preserve">testui/</w:t>
      </w:r>
      <w:r>
        <w:rPr>
          <w:b/>
          <w:bCs/>
          <w:color w:val="222222"/>
          <w:sz w:val="20"/>
          <w:szCs w:val="20"/>
        </w:rPr>
        <w:t xml:space="preserve">) — </w:t>
      </w:r>
      <w:r>
        <w:rPr>
          <w:color w:val="222222"/>
          <w:sz w:val="20"/>
          <w:szCs w:val="20"/>
        </w:rPr>
        <w:t xml:space="preserve">a throwaway harness, not a product. It is styled to read like a real mobile app because the team wanted every flow to be judged as a real app would be, but its purpose is exercising and inspecting the backend, not shipping.</w:t>
      </w:r>
    </w:p>
    <w:p>
      <w:pPr>
        <w:pStyle w:val="Heading2"/>
        <w:spacing w:after="60" w:before="240"/>
      </w:pPr>
      <w:r>
        <w:rPr>
          <w:b/>
          <w:bCs/>
          <w:color w:val="0E6E5C"/>
          <w:sz w:val="23"/>
          <w:szCs w:val="23"/>
        </w:rPr>
        <w:t xml:space="preserve">The rule that shapes the whole backend</w:t>
      </w:r>
    </w:p>
    <w:p>
      <w:pPr>
        <w:spacing w:after="120" w:line="268"/>
      </w:pPr>
      <w:r>
        <w:rPr>
          <w:color w:val="222222"/>
          <w:sz w:val="20"/>
          <w:szCs w:val="20"/>
        </w:rPr>
        <w:t xml:space="preserve">Because this package is mounted into someone else's process, </w:t>
      </w:r>
      <w:r>
        <w:rPr>
          <w:b/>
          <w:bCs/>
          <w:color w:val="222222"/>
          <w:sz w:val="20"/>
          <w:szCs w:val="20"/>
        </w:rPr>
        <w:t xml:space="preserve">nothing may happen at import time</w:t>
      </w:r>
      <w:r>
        <w:rPr>
          <w:color w:val="222222"/>
          <w:sz w:val="20"/>
          <w:szCs w:val="20"/>
        </w:rPr>
        <w:t xml:space="preserve">. No module reads a file, resolves a path, opens a database connection or reads the environment when it is imported. All of that lives in exactly one place — </w:t>
      </w:r>
      <w:r>
        <w:rPr>
          <w:rFonts w:ascii="Consolas" w:cs="Consolas" w:eastAsia="Consolas" w:hAnsi="Consolas"/>
          <w:color w:val="0B4F6C"/>
          <w:sz w:val="18"/>
          <w:szCs w:val="18"/>
        </w:rPr>
        <w:t xml:space="preserve">bootstrap()</w:t>
      </w:r>
      <w:r>
        <w:rPr>
          <w:color w:val="222222"/>
          <w:sz w:val="20"/>
          <w:szCs w:val="20"/>
        </w:rPr>
        <w:t xml:space="preserve"> — which the host calls explicitly.</w:t>
      </w:r>
    </w:p>
    <w:p>
      <w:pPr>
        <w:spacing w:after="120" w:line="268"/>
      </w:pPr>
      <w:r>
        <w:rPr>
          <w:color w:val="222222"/>
          <w:sz w:val="20"/>
          <w:szCs w:val="20"/>
        </w:rPr>
        <w:t xml:space="preserve">The mount seam is two calls: </w:t>
      </w:r>
      <w:r>
        <w:rPr>
          <w:rFonts w:ascii="Consolas" w:cs="Consolas" w:eastAsia="Consolas" w:hAnsi="Consolas"/>
          <w:color w:val="0B4F6C"/>
          <w:sz w:val="18"/>
          <w:szCs w:val="18"/>
        </w:rPr>
        <w:t xml:space="preserve">bootstrap(settings)</w:t>
      </w:r>
      <w:r>
        <w:rPr>
          <w:color w:val="222222"/>
          <w:sz w:val="20"/>
          <w:szCs w:val="20"/>
        </w:rPr>
        <w:t xml:space="preserve"> then </w:t>
      </w:r>
      <w:r>
        <w:rPr>
          <w:rFonts w:ascii="Consolas" w:cs="Consolas" w:eastAsia="Consolas" w:hAnsi="Consolas"/>
          <w:color w:val="0B4F6C"/>
          <w:sz w:val="18"/>
          <w:szCs w:val="18"/>
        </w:rPr>
        <w:t xml:space="preserve">app.include_router(build_router(settings))</w:t>
      </w:r>
      <w:r>
        <w:rPr>
          <w:color w:val="222222"/>
          <w:sz w:val="20"/>
          <w:szCs w:val="20"/>
        </w:rPr>
        <w:t xml:space="preserve">. If you add behaviour anywhere other than those two, it will exist when running standalone and silently not exist when mounted — which is the exact failure this structure is designed to prevent.</w:t>
      </w:r>
    </w:p>
    <w:p>
      <w:pPr>
        <w:spacing w:after="120" w:line="268"/>
      </w:pPr>
      <w:r>
        <w:rPr>
          <w:color w:val="222222"/>
          <w:sz w:val="20"/>
          <w:szCs w:val="20"/>
        </w:rPr>
        <w:t xml:space="preserve">Second deliberate choice: everything is synchronous. Every route handler is a plain def, the database driver is sync, and ABDM calls use blocking HTTP. FastAPI runs a sync handler in a threadpool, which is the right place for blocking work. An async handler making a blocking call would stall the event loop for every other request — and once mounted, that event loop is shared with the whole ABDM backend.</w:t>
      </w:r>
    </w:p>
    <w:p>
      <w:pPr>
        <w:pStyle w:val="Heading1"/>
        <w:pBdr>
          <w:bottom w:val="single" w:color="0E6E5C" w:sz="8" w:space="3"/>
        </w:pBdr>
        <w:spacing w:after="100" w:before="320"/>
      </w:pPr>
      <w:r>
        <w:rPr>
          <w:b/>
          <w:bCs/>
          <w:color w:val="1F3A5F"/>
          <w:sz w:val="28"/>
          <w:szCs w:val="28"/>
        </w:rPr>
        <w:t xml:space="preserve">2. Running it</w:t>
      </w:r>
    </w:p>
    <w:p>
      <w:pPr>
        <w:spacing w:after="120" w:line="268"/>
      </w:pPr>
      <w:r>
        <w:rPr>
          <w:color w:val="222222"/>
          <w:sz w:val="20"/>
          <w:szCs w:val="20"/>
        </w:rPr>
        <w:t xml:space="preserve">Postgres comes from </w:t>
      </w:r>
      <w:r>
        <w:rPr>
          <w:rFonts w:ascii="Consolas" w:cs="Consolas" w:eastAsia="Consolas" w:hAnsi="Consolas"/>
          <w:color w:val="0B4F6C"/>
          <w:sz w:val="18"/>
          <w:szCs w:val="18"/>
        </w:rPr>
        <w:t xml:space="preserve">docker-compose.yml</w:t>
      </w:r>
      <w:r>
        <w:rPr>
          <w:color w:val="222222"/>
          <w:sz w:val="20"/>
          <w:szCs w:val="20"/>
        </w:rPr>
        <w:t xml:space="preserve"> (Postgres 16 on host port 5433). Schema is applied explicitly with </w:t>
      </w:r>
      <w:r>
        <w:rPr>
          <w:rFonts w:ascii="Consolas" w:cs="Consolas" w:eastAsia="Consolas" w:hAnsi="Consolas"/>
          <w:color w:val="0B4F6C"/>
          <w:sz w:val="18"/>
          <w:szCs w:val="18"/>
        </w:rPr>
        <w:t xml:space="preserve">alembic upgrade head</w:t>
      </w:r>
      <w:r>
        <w:rPr>
          <w:color w:val="222222"/>
          <w:sz w:val="20"/>
          <w:szCs w:val="20"/>
        </w:rPr>
        <w:t xml:space="preserve"> — bootstrap deliberately does not migrate on startup.</w:t>
      </w:r>
    </w:p>
    <w:p>
      <w:pPr>
        <w:spacing w:after="120" w:line="268"/>
      </w:pPr>
      <w:r>
        <w:rPr>
          <w:color w:val="222222"/>
          <w:sz w:val="20"/>
          <w:szCs w:val="20"/>
        </w:rPr>
        <w:t xml:space="preserve">Backend, standalone: </w:t>
      </w:r>
      <w:r>
        <w:rPr>
          <w:rFonts w:ascii="Consolas" w:cs="Consolas" w:eastAsia="Consolas" w:hAnsi="Consolas"/>
          <w:color w:val="0B4F6C"/>
          <w:sz w:val="18"/>
          <w:szCs w:val="18"/>
        </w:rPr>
        <w:t xml:space="preserve">python -m aegle_phr</w:t>
      </w:r>
      <w:r>
        <w:rPr>
          <w:color w:val="222222"/>
          <w:sz w:val="20"/>
          <w:szCs w:val="20"/>
        </w:rPr>
        <w:t xml:space="preserve"> on port 8001. Backend, mounted (the real target): start the ABDM backend on port 8000 and it will pick this package up automatically if it is installed.</w:t>
      </w:r>
    </w:p>
    <w:p>
      <w:pPr>
        <w:spacing w:after="120" w:line="268"/>
      </w:pPr>
      <w:r>
        <w:rPr>
          <w:color w:val="222222"/>
          <w:sz w:val="20"/>
          <w:szCs w:val="20"/>
        </w:rPr>
        <w:t xml:space="preserve">Frontend: the Vite dev server in </w:t>
      </w:r>
      <w:r>
        <w:rPr>
          <w:rFonts w:ascii="Consolas" w:cs="Consolas" w:eastAsia="Consolas" w:hAnsi="Consolas"/>
          <w:color w:val="0B4F6C"/>
          <w:sz w:val="18"/>
          <w:szCs w:val="18"/>
        </w:rPr>
        <w:t xml:space="preserve">testui/</w:t>
      </w:r>
      <w:r>
        <w:rPr>
          <w:color w:val="222222"/>
          <w:sz w:val="20"/>
          <w:szCs w:val="20"/>
        </w:rPr>
        <w:t xml:space="preserve">. The backend base URL is typed into the UI at runtime rather than baked in at build time, because the ngrok domain changes. The UI also needs the shared access key — every app-API call carries an </w:t>
      </w:r>
      <w:r>
        <w:rPr>
          <w:rFonts w:ascii="Consolas" w:cs="Consolas" w:eastAsia="Consolas" w:hAnsi="Consolas"/>
          <w:color w:val="0B4F6C"/>
          <w:sz w:val="18"/>
          <w:szCs w:val="18"/>
        </w:rPr>
        <w:t xml:space="preserve">X-Aegle-Key</w:t>
      </w:r>
      <w:r>
        <w:rPr>
          <w:color w:val="222222"/>
          <w:sz w:val="20"/>
          <w:szCs w:val="20"/>
        </w:rPr>
        <w:t xml:space="preserve"> header.</w:t>
      </w:r>
    </w:p>
    <w:p>
      <w:pPr>
        <w:spacing w:after="120" w:line="268"/>
      </w:pPr>
      <w:r>
        <w:rPr>
          <w:color w:val="222222"/>
          <w:sz w:val="20"/>
          <w:szCs w:val="20"/>
        </w:rPr>
        <w:t xml:space="preserve">The UI's Console panel shows the full request and response of every call it makes. That is the single most useful debugging tool in this repository, and the reason every screen routes through one HTTP helper rather than calling fetch directly.</w:t>
      </w:r>
    </w:p>
    <w:p>
      <w:pPr>
        <w:pStyle w:val="Heading1"/>
        <w:pBdr>
          <w:bottom w:val="single" w:color="0E6E5C" w:sz="8" w:space="3"/>
        </w:pBdr>
        <w:spacing w:after="100" w:before="320"/>
      </w:pPr>
      <w:r>
        <w:rPr>
          <w:b/>
          <w:bCs/>
          <w:color w:val="1F3A5F"/>
          <w:sz w:val="28"/>
          <w:szCs w:val="28"/>
        </w:rPr>
        <w:t xml:space="preserve">3. Directory map</w:t>
      </w:r>
    </w:p>
    <w:p>
      <w:pPr>
        <w:spacing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840"/>
      </w:tblGrid>
      <w:tr>
        <w:trPr>
          <w:tblHeader/>
        </w:trPr>
        <w:tc>
          <w:tcPr>
            <w:tcW w:type="dxa" w:w="2600"/>
            <w:shd w:fill="F2F5F7" w:color="auto" w:val="clear"/>
            <w:tcMar>
              <w:top w:type="dxa" w:w="60"/>
              <w:left w:type="dxa" w:w="110"/>
              <w:bottom w:type="dxa" w:w="60"/>
              <w:right w:type="dxa" w:w="110"/>
            </w:tcMar>
          </w:tcPr>
          <w:p>
            <w:r>
              <w:rPr>
                <w:b/>
                <w:bCs/>
                <w:color w:val="1F3A5F"/>
                <w:sz w:val="18"/>
                <w:szCs w:val="18"/>
              </w:rPr>
              <w:t xml:space="preserve">File</w:t>
            </w:r>
          </w:p>
        </w:tc>
        <w:tc>
          <w:tcPr>
            <w:tcW w:type="dxa" w:w="7840"/>
            <w:shd w:fill="F2F5F7" w:color="auto" w:val="clear"/>
            <w:tcMar>
              <w:top w:type="dxa" w:w="60"/>
              <w:left w:type="dxa" w:w="110"/>
              <w:bottom w:type="dxa" w:w="60"/>
              <w:right w:type="dxa" w:w="110"/>
            </w:tcMar>
          </w:tcPr>
          <w:p>
            <w:r>
              <w:rPr>
                <w:b/>
                <w:bCs/>
                <w:color w:val="1F3A5F"/>
                <w:sz w:val="18"/>
                <w:szCs w:val="18"/>
              </w:rPr>
              <w:t xml:space="preserve">What it does</w:t>
            </w:r>
          </w:p>
        </w:tc>
      </w:tr>
      <w:tr>
        <w:tc>
          <w:tcPr>
            <w:tcW w:type="dxa" w:w="2600"/>
            <w:tcMar>
              <w:top w:type="dxa" w:w="60"/>
              <w:left w:type="dxa" w:w="110"/>
              <w:bottom w:type="dxa" w:w="60"/>
              <w:right w:type="dxa" w:w="110"/>
            </w:tcMar>
          </w:tcPr>
          <w:p>
            <w:r>
              <w:rPr>
                <w:rFonts w:ascii="Consolas" w:cs="Consolas" w:eastAsia="Consolas" w:hAnsi="Consolas"/>
                <w:color w:val="0B4F6C"/>
                <w:sz w:val="17"/>
                <w:szCs w:val="17"/>
              </w:rPr>
              <w:t xml:space="preserve">aegle_phr/</w:t>
            </w:r>
          </w:p>
        </w:tc>
        <w:tc>
          <w:tcPr>
            <w:tcW w:type="dxa" w:w="7840"/>
            <w:tcMar>
              <w:top w:type="dxa" w:w="60"/>
              <w:left w:type="dxa" w:w="110"/>
              <w:bottom w:type="dxa" w:w="60"/>
              <w:right w:type="dxa" w:w="110"/>
            </w:tcMar>
          </w:tcPr>
          <w:p>
            <w:pPr>
              <w:spacing w:line="240"/>
            </w:pPr>
            <w:r>
              <w:rPr>
                <w:sz w:val="18"/>
                <w:szCs w:val="18"/>
              </w:rPr>
              <w:t xml:space="preserve">The backend package. Mountable router, settings, database, and one module per ABDM feature area.</w:t>
            </w:r>
          </w:p>
        </w:tc>
      </w:tr>
      <w:tr>
        <w:tc>
          <w:tcPr>
            <w:tcW w:type="dxa" w:w="2600"/>
            <w:tcMar>
              <w:top w:type="dxa" w:w="60"/>
              <w:left w:type="dxa" w:w="110"/>
              <w:bottom w:type="dxa" w:w="60"/>
              <w:right w:type="dxa" w:w="110"/>
            </w:tcMar>
          </w:tcPr>
          <w:p>
            <w:r>
              <w:rPr>
                <w:rFonts w:ascii="Consolas" w:cs="Consolas" w:eastAsia="Consolas" w:hAnsi="Consolas"/>
                <w:color w:val="0B4F6C"/>
                <w:sz w:val="17"/>
                <w:szCs w:val="17"/>
              </w:rPr>
              <w:t xml:space="preserve">aegle_phr/phr/</w:t>
            </w:r>
          </w:p>
        </w:tc>
        <w:tc>
          <w:tcPr>
            <w:tcW w:type="dxa" w:w="7840"/>
            <w:tcMar>
              <w:top w:type="dxa" w:w="60"/>
              <w:left w:type="dxa" w:w="110"/>
              <w:bottom w:type="dxa" w:w="60"/>
              <w:right w:type="dxa" w:w="110"/>
            </w:tcMar>
          </w:tcPr>
          <w:p>
            <w:pPr>
              <w:spacing w:line="240"/>
            </w:pPr>
            <w:r>
              <w:rPr>
                <w:sz w:val="18"/>
                <w:szCs w:val="18"/>
              </w:rPr>
              <w:t xml:space="preserve">One module per patient-facing ABDM feature: enrollment, login, profile, links, consent, data flow, providers, UIL, subscription.</w:t>
            </w:r>
          </w:p>
        </w:tc>
      </w:tr>
      <w:tr>
        <w:tc>
          <w:tcPr>
            <w:tcW w:type="dxa" w:w="2600"/>
            <w:tcMar>
              <w:top w:type="dxa" w:w="60"/>
              <w:left w:type="dxa" w:w="110"/>
              <w:bottom w:type="dxa" w:w="60"/>
              <w:right w:type="dxa" w:w="110"/>
            </w:tcMar>
          </w:tcPr>
          <w:p>
            <w:r>
              <w:rPr>
                <w:rFonts w:ascii="Consolas" w:cs="Consolas" w:eastAsia="Consolas" w:hAnsi="Consolas"/>
                <w:color w:val="0B4F6C"/>
                <w:sz w:val="17"/>
                <w:szCs w:val="17"/>
              </w:rPr>
              <w:t xml:space="preserve">aegle_phr/callbacks/</w:t>
            </w:r>
          </w:p>
        </w:tc>
        <w:tc>
          <w:tcPr>
            <w:tcW w:type="dxa" w:w="7840"/>
            <w:tcMar>
              <w:top w:type="dxa" w:w="60"/>
              <w:left w:type="dxa" w:w="110"/>
              <w:bottom w:type="dxa" w:w="60"/>
              <w:right w:type="dxa" w:w="110"/>
            </w:tcMar>
          </w:tcPr>
          <w:p>
            <w:pPr>
              <w:spacing w:line="240"/>
            </w:pPr>
            <w:r>
              <w:rPr>
                <w:sz w:val="18"/>
                <w:szCs w:val="18"/>
              </w:rPr>
              <w:t xml:space="preserve">The inbound ABDM callback routes this app owns, plus the per-callback handlers for UIL and Subscription.</w:t>
            </w:r>
          </w:p>
        </w:tc>
      </w:tr>
      <w:tr>
        <w:tc>
          <w:tcPr>
            <w:tcW w:type="dxa" w:w="2600"/>
            <w:tcMar>
              <w:top w:type="dxa" w:w="60"/>
              <w:left w:type="dxa" w:w="110"/>
              <w:bottom w:type="dxa" w:w="60"/>
              <w:right w:type="dxa" w:w="110"/>
            </w:tcMar>
          </w:tcPr>
          <w:p>
            <w:r>
              <w:rPr>
                <w:rFonts w:ascii="Consolas" w:cs="Consolas" w:eastAsia="Consolas" w:hAnsi="Consolas"/>
                <w:color w:val="0B4F6C"/>
                <w:sz w:val="17"/>
                <w:szCs w:val="17"/>
              </w:rPr>
              <w:t xml:space="preserve">testui/</w:t>
            </w:r>
          </w:p>
        </w:tc>
        <w:tc>
          <w:tcPr>
            <w:tcW w:type="dxa" w:w="7840"/>
            <w:tcMar>
              <w:top w:type="dxa" w:w="60"/>
              <w:left w:type="dxa" w:w="110"/>
              <w:bottom w:type="dxa" w:w="60"/>
              <w:right w:type="dxa" w:w="110"/>
            </w:tcMar>
          </w:tcPr>
          <w:p>
            <w:pPr>
              <w:spacing w:line="240"/>
            </w:pPr>
            <w:r>
              <w:rPr>
                <w:sz w:val="18"/>
                <w:szCs w:val="18"/>
              </w:rPr>
              <w:t xml:space="preserve">The React/Vite harness — one screen per feature area, plus a shared UI component set.</w:t>
            </w:r>
          </w:p>
        </w:tc>
      </w:tr>
      <w:tr>
        <w:tc>
          <w:tcPr>
            <w:tcW w:type="dxa" w:w="2600"/>
            <w:tcMar>
              <w:top w:type="dxa" w:w="60"/>
              <w:left w:type="dxa" w:w="110"/>
              <w:bottom w:type="dxa" w:w="60"/>
              <w:right w:type="dxa" w:w="110"/>
            </w:tcMar>
          </w:tcPr>
          <w:p>
            <w:r>
              <w:rPr>
                <w:rFonts w:ascii="Consolas" w:cs="Consolas" w:eastAsia="Consolas" w:hAnsi="Consolas"/>
                <w:color w:val="0B4F6C"/>
                <w:sz w:val="17"/>
                <w:szCs w:val="17"/>
              </w:rPr>
              <w:t xml:space="preserve">alembic/</w:t>
            </w:r>
          </w:p>
        </w:tc>
        <w:tc>
          <w:tcPr>
            <w:tcW w:type="dxa" w:w="7840"/>
            <w:tcMar>
              <w:top w:type="dxa" w:w="60"/>
              <w:left w:type="dxa" w:w="110"/>
              <w:bottom w:type="dxa" w:w="60"/>
              <w:right w:type="dxa" w:w="110"/>
            </w:tcMar>
          </w:tcPr>
          <w:p>
            <w:pPr>
              <w:spacing w:line="240"/>
            </w:pPr>
            <w:r>
              <w:rPr>
                <w:sz w:val="18"/>
                <w:szCs w:val="18"/>
              </w:rPr>
              <w:t xml:space="preserve">Four migrations, one per table.</w:t>
            </w:r>
          </w:p>
        </w:tc>
      </w:tr>
      <w:tr>
        <w:tc>
          <w:tcPr>
            <w:tcW w:type="dxa" w:w="2600"/>
            <w:tcMar>
              <w:top w:type="dxa" w:w="60"/>
              <w:left w:type="dxa" w:w="110"/>
              <w:bottom w:type="dxa" w:w="60"/>
              <w:right w:type="dxa" w:w="110"/>
            </w:tcMar>
          </w:tcPr>
          <w:p>
            <w:r>
              <w:rPr>
                <w:rFonts w:ascii="Consolas" w:cs="Consolas" w:eastAsia="Consolas" w:hAnsi="Consolas"/>
                <w:color w:val="0B4F6C"/>
                <w:sz w:val="17"/>
                <w:szCs w:val="17"/>
              </w:rPr>
              <w:t xml:space="preserve">storage/, logs/</w:t>
            </w:r>
          </w:p>
        </w:tc>
        <w:tc>
          <w:tcPr>
            <w:tcW w:type="dxa" w:w="7840"/>
            <w:tcMar>
              <w:top w:type="dxa" w:w="60"/>
              <w:left w:type="dxa" w:w="110"/>
              <w:bottom w:type="dxa" w:w="60"/>
              <w:right w:type="dxa" w:w="110"/>
            </w:tcMar>
          </w:tcPr>
          <w:p>
            <w:pPr>
              <w:spacing w:line="240"/>
            </w:pPr>
            <w:r>
              <w:rPr>
                <w:sz w:val="18"/>
                <w:szCs w:val="18"/>
              </w:rPr>
              <w:t xml:space="preserve">Captured API traffic and narrative logs. Both contain real tokens and are gitignored.</w:t>
            </w:r>
          </w:p>
        </w:tc>
      </w:tr>
      <w:tr>
        <w:tc>
          <w:tcPr>
            <w:tcW w:type="dxa" w:w="2600"/>
            <w:tcMar>
              <w:top w:type="dxa" w:w="60"/>
              <w:left w:type="dxa" w:w="110"/>
              <w:bottom w:type="dxa" w:w="60"/>
              <w:right w:type="dxa" w:w="110"/>
            </w:tcMar>
          </w:tcPr>
          <w:p>
            <w:r>
              <w:rPr>
                <w:rFonts w:ascii="Consolas" w:cs="Consolas" w:eastAsia="Consolas" w:hAnsi="Consolas"/>
                <w:color w:val="0B4F6C"/>
                <w:sz w:val="17"/>
                <w:szCs w:val="17"/>
              </w:rPr>
              <w:t xml:space="preserve">design_reference/</w:t>
            </w:r>
          </w:p>
        </w:tc>
        <w:tc>
          <w:tcPr>
            <w:tcW w:type="dxa" w:w="7840"/>
            <w:tcMar>
              <w:top w:type="dxa" w:w="60"/>
              <w:left w:type="dxa" w:w="110"/>
              <w:bottom w:type="dxa" w:w="60"/>
              <w:right w:type="dxa" w:w="110"/>
            </w:tcMar>
          </w:tcPr>
          <w:p>
            <w:pPr>
              <w:spacing w:line="240"/>
            </w:pPr>
            <w:r>
              <w:rPr>
                <w:sz w:val="18"/>
                <w:szCs w:val="18"/>
              </w:rPr>
              <w:t xml:space="preserve">Screenshots of ABDM's own sandbox PHR app, used as the visual target for the UI.</w:t>
            </w:r>
          </w:p>
        </w:tc>
      </w:tr>
      <w:tr>
        <w:tc>
          <w:tcPr>
            <w:tcW w:type="dxa" w:w="2600"/>
            <w:tcMar>
              <w:top w:type="dxa" w:w="60"/>
              <w:left w:type="dxa" w:w="110"/>
              <w:bottom w:type="dxa" w:w="60"/>
              <w:right w:type="dxa" w:w="110"/>
            </w:tcMar>
          </w:tcPr>
          <w:p>
            <w:r>
              <w:rPr>
                <w:rFonts w:ascii="Consolas" w:cs="Consolas" w:eastAsia="Consolas" w:hAnsi="Consolas"/>
                <w:color w:val="0B4F6C"/>
                <w:sz w:val="17"/>
                <w:szCs w:val="17"/>
              </w:rPr>
              <w:t xml:space="preserve">CC_PROMPT_*.md</w:t>
            </w:r>
          </w:p>
        </w:tc>
        <w:tc>
          <w:tcPr>
            <w:tcW w:type="dxa" w:w="7840"/>
            <w:tcMar>
              <w:top w:type="dxa" w:w="60"/>
              <w:left w:type="dxa" w:w="110"/>
              <w:bottom w:type="dxa" w:w="60"/>
              <w:right w:type="dxa" w:w="110"/>
            </w:tcMar>
          </w:tcPr>
          <w:p>
            <w:pPr>
              <w:spacing w:line="240"/>
            </w:pPr>
            <w:r>
              <w:rPr>
                <w:sz w:val="18"/>
                <w:szCs w:val="18"/>
              </w:rPr>
              <w:t xml:space="preserve">The task specifications each chunk of this app was built from. They are the closest thing to a design history — many files cite them by name.</w:t>
            </w:r>
          </w:p>
        </w:tc>
      </w:tr>
      <w:tr>
        <w:tc>
          <w:tcPr>
            <w:tcW w:type="dxa" w:w="2600"/>
            <w:tcMar>
              <w:top w:type="dxa" w:w="60"/>
              <w:left w:type="dxa" w:w="110"/>
              <w:bottom w:type="dxa" w:w="60"/>
              <w:right w:type="dxa" w:w="110"/>
            </w:tcMar>
          </w:tcPr>
          <w:p>
            <w:r>
              <w:rPr>
                <w:rFonts w:ascii="Consolas" w:cs="Consolas" w:eastAsia="Consolas" w:hAnsi="Consolas"/>
                <w:color w:val="0B4F6C"/>
                <w:sz w:val="17"/>
                <w:szCs w:val="17"/>
              </w:rPr>
              <w:t xml:space="preserve">README.md</w:t>
            </w:r>
          </w:p>
        </w:tc>
        <w:tc>
          <w:tcPr>
            <w:tcW w:type="dxa" w:w="7840"/>
            <w:tcMar>
              <w:top w:type="dxa" w:w="60"/>
              <w:left w:type="dxa" w:w="110"/>
              <w:bottom w:type="dxa" w:w="60"/>
              <w:right w:type="dxa" w:w="110"/>
            </w:tcMar>
          </w:tcPr>
          <w:p>
            <w:pPr>
              <w:spacing w:line="240"/>
            </w:pPr>
            <w:r>
              <w:rPr>
                <w:sz w:val="18"/>
                <w:szCs w:val="18"/>
              </w:rPr>
              <w:t xml:space="preserve">Setup notes plus a long appendix of real captured ABDM response shapes. Its "Layout" section is out of date; trust the code.</w:t>
            </w:r>
          </w:p>
        </w:tc>
      </w:tr>
    </w:tbl>
    <w:p>
      <w:pPr>
        <w:spacing w:after="120"/>
      </w:pPr>
    </w:p>
    <w:p>
      <w:pPr>
        <w:pStyle w:val="Heading1"/>
        <w:pBdr>
          <w:bottom w:val="single" w:color="0E6E5C" w:sz="8" w:space="3"/>
        </w:pBdr>
        <w:spacing w:after="100" w:before="320"/>
      </w:pPr>
      <w:r>
        <w:rPr>
          <w:b/>
          <w:bCs/>
          <w:color w:val="1F3A5F"/>
          <w:sz w:val="28"/>
          <w:szCs w:val="28"/>
        </w:rPr>
        <w:t xml:space="preserve">4. File reference</w:t>
      </w:r>
    </w:p>
    <w:p>
      <w:pPr>
        <w:pStyle w:val="Heading2"/>
        <w:spacing w:after="60" w:before="240"/>
      </w:pPr>
      <w:r>
        <w:rPr>
          <w:b/>
          <w:bCs/>
          <w:color w:val="0E6E5C"/>
          <w:sz w:val="23"/>
          <w:szCs w:val="23"/>
        </w:rPr>
        <w:t xml:space="preserve">4.1 Wiring and infrastructure</w:t>
      </w:r>
    </w:p>
    <w:p>
      <w:pPr>
        <w:spacing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440"/>
      </w:tblGrid>
      <w:tr>
        <w:trPr>
          <w:tblHeader/>
        </w:trPr>
        <w:tc>
          <w:tcPr>
            <w:tcW w:type="dxa" w:w="3000"/>
            <w:shd w:fill="F2F5F7" w:color="auto" w:val="clear"/>
            <w:tcMar>
              <w:top w:type="dxa" w:w="60"/>
              <w:left w:type="dxa" w:w="110"/>
              <w:bottom w:type="dxa" w:w="60"/>
              <w:right w:type="dxa" w:w="110"/>
            </w:tcMar>
          </w:tcPr>
          <w:p>
            <w:r>
              <w:rPr>
                <w:b/>
                <w:bCs/>
                <w:color w:val="1F3A5F"/>
                <w:sz w:val="18"/>
                <w:szCs w:val="18"/>
              </w:rPr>
              <w:t xml:space="preserve">File</w:t>
            </w:r>
          </w:p>
        </w:tc>
        <w:tc>
          <w:tcPr>
            <w:tcW w:type="dxa" w:w="7440"/>
            <w:shd w:fill="F2F5F7" w:color="auto" w:val="clear"/>
            <w:tcMar>
              <w:top w:type="dxa" w:w="60"/>
              <w:left w:type="dxa" w:w="110"/>
              <w:bottom w:type="dxa" w:w="60"/>
              <w:right w:type="dxa" w:w="110"/>
            </w:tcMar>
          </w:tcPr>
          <w:p>
            <w:r>
              <w:rPr>
                <w:b/>
                <w:bCs/>
                <w:color w:val="1F3A5F"/>
                <w:sz w:val="18"/>
                <w:szCs w:val="18"/>
              </w:rPr>
              <w:t xml:space="preserve">What it does</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aegle_phr/api.py</w:t>
            </w:r>
          </w:p>
        </w:tc>
        <w:tc>
          <w:tcPr>
            <w:tcW w:type="dxa" w:w="7440"/>
            <w:tcMar>
              <w:top w:type="dxa" w:w="60"/>
              <w:left w:type="dxa" w:w="110"/>
              <w:bottom w:type="dxa" w:w="60"/>
              <w:right w:type="dxa" w:w="110"/>
            </w:tcMar>
          </w:tcPr>
          <w:p>
            <w:pPr>
              <w:spacing w:line="240"/>
            </w:pPr>
            <w:r>
              <w:rPr>
                <w:sz w:val="18"/>
                <w:szCs w:val="18"/>
              </w:rPr>
              <w:t xml:space="preserve">The mount seam: build_router(settings) returns a fresh router carrying all 89 app routes. No global state, no startup hooks. This is also the best single file for seeing the app's whole API surface at a glance.</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aegle_phr/bootstrap.py</w:t>
            </w:r>
          </w:p>
        </w:tc>
        <w:tc>
          <w:tcPr>
            <w:tcW w:type="dxa" w:w="7440"/>
            <w:tcMar>
              <w:top w:type="dxa" w:w="60"/>
              <w:left w:type="dxa" w:w="110"/>
              <w:bottom w:type="dxa" w:w="60"/>
              <w:right w:type="dxa" w:w="110"/>
            </w:tcMar>
          </w:tcPr>
          <w:p>
            <w:pPr>
              <w:spacing w:line="240"/>
            </w:pPr>
            <w:r>
              <w:rPr>
                <w:sz w:val="18"/>
                <w:szCs w:val="18"/>
              </w:rPr>
              <w:t xml:space="preserve">The only place in the package with side effects. Configures the shared abdm_core package (gateway credentials, storage and log paths), creates the database engine, and — when mounted — also initialises the ABDM backend's own engine, since this app calls into that code. Idempotent.</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aegle_phr/settings.py</w:t>
            </w:r>
          </w:p>
        </w:tc>
        <w:tc>
          <w:tcPr>
            <w:tcW w:type="dxa" w:w="7440"/>
            <w:tcMar>
              <w:top w:type="dxa" w:w="60"/>
              <w:left w:type="dxa" w:w="110"/>
              <w:bottom w:type="dxa" w:w="60"/>
              <w:right w:type="dxa" w:w="110"/>
            </w:tcMar>
          </w:tcPr>
          <w:p>
            <w:pPr>
              <w:spacing w:line="240"/>
            </w:pPr>
            <w:r>
              <w:rPr>
                <w:sz w:val="18"/>
                <w:szCs w:val="18"/>
              </w:rPr>
              <w:t xml:space="preserve">All configuration, read from .env via pydantic-settings. Nothing is instantiated at import; callers ask for settings explicitly. Holds the ABDM base URLs, the two certificate URLs, the access key, and the HIU identifier.</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aegle_phr/app.py / __main__.py</w:t>
            </w:r>
          </w:p>
        </w:tc>
        <w:tc>
          <w:tcPr>
            <w:tcW w:type="dxa" w:w="7440"/>
            <w:tcMar>
              <w:top w:type="dxa" w:w="60"/>
              <w:left w:type="dxa" w:w="110"/>
              <w:bottom w:type="dxa" w:w="60"/>
              <w:right w:type="dxa" w:w="110"/>
            </w:tcMar>
          </w:tcPr>
          <w:p>
            <w:pPr>
              <w:spacing w:line="240"/>
            </w:pPr>
            <w:r>
              <w:rPr>
                <w:sz w:val="18"/>
                <w:szCs w:val="18"/>
              </w:rPr>
              <w:t xml:space="preserve">The standalone wrapper and its entry point (port 8001). Deliberately thin — anything of substance here would exist standalone and vanish when mounted.</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aegle_phr/access.py</w:t>
            </w:r>
          </w:p>
        </w:tc>
        <w:tc>
          <w:tcPr>
            <w:tcW w:type="dxa" w:w="7440"/>
            <w:tcMar>
              <w:top w:type="dxa" w:w="60"/>
              <w:left w:type="dxa" w:w="110"/>
              <w:bottom w:type="dxa" w:w="60"/>
              <w:right w:type="dxa" w:w="110"/>
            </w:tcMar>
          </w:tcPr>
          <w:p>
            <w:pPr>
              <w:spacing w:line="240"/>
            </w:pPr>
            <w:r>
              <w:rPr>
                <w:sz w:val="18"/>
                <w:szCs w:val="18"/>
              </w:rPr>
              <w:t xml:space="preserve">The X-Aegle-Key gate. Applied to the app API only, never to the ABDM callback routes — ABDM has no way to send our key, and gating the callbacks would break them invisibly.</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aegle_phr/db.py</w:t>
            </w:r>
          </w:p>
        </w:tc>
        <w:tc>
          <w:tcPr>
            <w:tcW w:type="dxa" w:w="7440"/>
            <w:tcMar>
              <w:top w:type="dxa" w:w="60"/>
              <w:left w:type="dxa" w:w="110"/>
              <w:bottom w:type="dxa" w:w="60"/>
              <w:right w:type="dxa" w:w="110"/>
            </w:tcMar>
          </w:tcPr>
          <w:p>
            <w:pPr>
              <w:spacing w:line="240"/>
            </w:pPr>
            <w:r>
              <w:rPr>
                <w:sz w:val="18"/>
                <w:szCs w:val="18"/>
              </w:rPr>
              <w:t xml:space="preserve">Sync SQLAlchemy engine and session handling. Created in bootstrap, never at import.</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aegle_phr/models.py</w:t>
            </w:r>
          </w:p>
        </w:tc>
        <w:tc>
          <w:tcPr>
            <w:tcW w:type="dxa" w:w="7440"/>
            <w:tcMar>
              <w:top w:type="dxa" w:w="60"/>
              <w:left w:type="dxa" w:w="110"/>
              <w:bottom w:type="dxa" w:w="60"/>
              <w:right w:type="dxa" w:w="110"/>
            </w:tcMar>
          </w:tcPr>
          <w:p>
            <w:pPr>
              <w:spacing w:line="240"/>
            </w:pPr>
            <w:r>
              <w:rPr>
                <w:sz w:val="18"/>
                <w:szCs w:val="18"/>
              </w:rPr>
              <w:t xml:space="preserve">Four tables: callback_log, abdm_call_log, subscription_request, uil_link_request. Class definitions only — Alembic owns the schema.</w:t>
            </w:r>
          </w:p>
        </w:tc>
      </w:tr>
    </w:tbl>
    <w:p>
      <w:pPr>
        <w:pStyle w:val="Heading2"/>
        <w:spacing w:after="60" w:before="240"/>
      </w:pPr>
      <w:r>
        <w:rPr>
          <w:b/>
          <w:bCs/>
          <w:color w:val="0E6E5C"/>
          <w:sz w:val="23"/>
          <w:szCs w:val="23"/>
        </w:rPr>
        <w:t xml:space="preserve">4.2 Identity, account and profile</w:t>
      </w:r>
    </w:p>
    <w:p>
      <w:pPr>
        <w:spacing w:after="120" w:line="268"/>
      </w:pPr>
      <w:r>
        <w:rPr>
          <w:color w:val="222222"/>
          <w:sz w:val="20"/>
          <w:szCs w:val="20"/>
        </w:rPr>
        <w:t xml:space="preserve">These cover the same ground as the backend's M1, but from the patient's side and against a different ABDM URL family. Each returns ABDM's raw response body untouched, and archives the call for later inspection.</w:t>
      </w:r>
    </w:p>
    <w:p>
      <w:pPr>
        <w:spacing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440"/>
      </w:tblGrid>
      <w:tr>
        <w:trPr>
          <w:tblHeader/>
        </w:trPr>
        <w:tc>
          <w:tcPr>
            <w:tcW w:type="dxa" w:w="3000"/>
            <w:shd w:fill="F2F5F7" w:color="auto" w:val="clear"/>
            <w:tcMar>
              <w:top w:type="dxa" w:w="60"/>
              <w:left w:type="dxa" w:w="110"/>
              <w:bottom w:type="dxa" w:w="60"/>
              <w:right w:type="dxa" w:w="110"/>
            </w:tcMar>
          </w:tcPr>
          <w:p>
            <w:r>
              <w:rPr>
                <w:b/>
                <w:bCs/>
                <w:color w:val="1F3A5F"/>
                <w:sz w:val="18"/>
                <w:szCs w:val="18"/>
              </w:rPr>
              <w:t xml:space="preserve">File</w:t>
            </w:r>
          </w:p>
        </w:tc>
        <w:tc>
          <w:tcPr>
            <w:tcW w:type="dxa" w:w="7440"/>
            <w:shd w:fill="F2F5F7" w:color="auto" w:val="clear"/>
            <w:tcMar>
              <w:top w:type="dxa" w:w="60"/>
              <w:left w:type="dxa" w:w="110"/>
              <w:bottom w:type="dxa" w:w="60"/>
              <w:right w:type="dxa" w:w="110"/>
            </w:tcMar>
          </w:tcPr>
          <w:p>
            <w:r>
              <w:rPr>
                <w:b/>
                <w:bCs/>
                <w:color w:val="1F3A5F"/>
                <w:sz w:val="18"/>
                <w:szCs w:val="18"/>
              </w:rPr>
              <w:t xml:space="preserve">What it does</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phr/enrollment.py</w:t>
            </w:r>
          </w:p>
        </w:tc>
        <w:tc>
          <w:tcPr>
            <w:tcW w:type="dxa" w:w="7440"/>
            <w:tcMar>
              <w:top w:type="dxa" w:w="60"/>
              <w:left w:type="dxa" w:w="110"/>
              <w:bottom w:type="dxa" w:w="60"/>
              <w:right w:type="dxa" w:w="110"/>
            </w:tcMar>
          </w:tcPr>
          <w:p>
            <w:pPr>
              <w:spacing w:line="240"/>
            </w:pPr>
            <w:r>
              <w:rPr>
                <w:sz w:val="18"/>
                <w:szCs w:val="18"/>
              </w:rPr>
              <w:t xml:space="preserve">Creating an ABHA address by mobile number — the five-call registration sequence. Its banner documents the response shapes ABDM leaves blank in its own specification, recovered from real runs.</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phr/aadhaar_enrollment.py</w:t>
            </w:r>
          </w:p>
        </w:tc>
        <w:tc>
          <w:tcPr>
            <w:tcW w:type="dxa" w:w="7440"/>
            <w:tcMar>
              <w:top w:type="dxa" w:w="60"/>
              <w:left w:type="dxa" w:w="110"/>
              <w:bottom w:type="dxa" w:w="60"/>
              <w:right w:type="dxa" w:w="110"/>
            </w:tcMar>
          </w:tcPr>
          <w:p>
            <w:pPr>
              <w:spacing w:line="240"/>
            </w:pPr>
            <w:r>
              <w:rPr>
                <w:sz w:val="18"/>
                <w:szCs w:val="18"/>
              </w:rPr>
              <w:t xml:space="preserve">Creating an ABHA number by Aadhaar. The PHR-specific half (which certificate to encrypt against, archiving and redaction); the request shapes themselves live in the shared abdm_core package.</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phr/abha_address_creation.py</w:t>
            </w:r>
          </w:p>
        </w:tc>
        <w:tc>
          <w:tcPr>
            <w:tcW w:type="dxa" w:w="7440"/>
            <w:tcMar>
              <w:top w:type="dxa" w:w="60"/>
              <w:left w:type="dxa" w:w="110"/>
              <w:bottom w:type="dxa" w:w="60"/>
              <w:right w:type="dxa" w:w="110"/>
            </w:tcMar>
          </w:tcPr>
          <w:p>
            <w:pPr>
              <w:spacing w:line="240"/>
            </w:pPr>
            <w:r>
              <w:rPr>
                <w:sz w:val="18"/>
                <w:szCs w:val="18"/>
              </w:rPr>
              <w:t xml:space="preserve">The third, separate entry point: the patient already has an ABHA number and wants an ABHA address for it. Not a follow-up step of signup — a distinct operation with its own Aadhaar and mobile variants.</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phr/login.py</w:t>
            </w:r>
          </w:p>
        </w:tc>
        <w:tc>
          <w:tcPr>
            <w:tcW w:type="dxa" w:w="7440"/>
            <w:tcMar>
              <w:top w:type="dxa" w:w="60"/>
              <w:left w:type="dxa" w:w="110"/>
              <w:bottom w:type="dxa" w:w="60"/>
              <w:right w:type="dxa" w:w="110"/>
            </w:tcMar>
          </w:tcPr>
          <w:p>
            <w:pPr>
              <w:spacing w:line="240"/>
            </w:pPr>
            <w:r>
              <w:rPr>
                <w:sz w:val="18"/>
                <w:szCs w:val="18"/>
              </w:rPr>
              <w:t xml:space="preserve">All seven OTP-based login methods plus password login. One function per ABDM call, mirroring enrollment.py's shape.</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phr/profile.py</w:t>
            </w:r>
          </w:p>
        </w:tc>
        <w:tc>
          <w:tcPr>
            <w:tcW w:type="dxa" w:w="7440"/>
            <w:tcMar>
              <w:top w:type="dxa" w:w="60"/>
              <w:left w:type="dxa" w:w="110"/>
              <w:bottom w:type="dxa" w:w="60"/>
              <w:right w:type="dxa" w:w="110"/>
            </w:tcMar>
          </w:tcPr>
          <w:p>
            <w:pPr>
              <w:spacing w:line="240"/>
            </w:pPr>
            <w:r>
              <w:rPr>
                <w:sz w:val="18"/>
                <w:szCs w:val="18"/>
              </w:rPr>
              <w:t xml:space="preserve">Profile view and updates for a logged-in user: get, update, and the mobile / email / password update pairs.</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phr/profile_link.py</w:t>
            </w:r>
          </w:p>
        </w:tc>
        <w:tc>
          <w:tcPr>
            <w:tcW w:type="dxa" w:w="7440"/>
            <w:tcMar>
              <w:top w:type="dxa" w:w="60"/>
              <w:left w:type="dxa" w:w="110"/>
              <w:bottom w:type="dxa" w:w="60"/>
              <w:right w:type="dxa" w:w="110"/>
            </w:tcMar>
          </w:tcPr>
          <w:p>
            <w:pPr>
              <w:spacing w:line="240"/>
            </w:pPr>
            <w:r>
              <w:rPr>
                <w:sz w:val="18"/>
                <w:szCs w:val="18"/>
              </w:rPr>
              <w:t xml:space="preserve">The rest of the profile section: link and de-link an ABHA number, switch profile, QR code, PHR card, refresh token. Also the file that documents the certificate exception described in section 7.</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phr/mobile_linking.py</w:t>
            </w:r>
          </w:p>
        </w:tc>
        <w:tc>
          <w:tcPr>
            <w:tcW w:type="dxa" w:w="7440"/>
            <w:tcMar>
              <w:top w:type="dxa" w:w="60"/>
              <w:left w:type="dxa" w:w="110"/>
              <w:bottom w:type="dxa" w:w="60"/>
              <w:right w:type="dxa" w:w="110"/>
            </w:tcMar>
          </w:tcPr>
          <w:p>
            <w:pPr>
              <w:spacing w:line="240"/>
            </w:pPr>
            <w:r>
              <w:rPr>
                <w:sz w:val="18"/>
                <w:szCs w:val="18"/>
              </w:rPr>
              <w:t xml:space="preserve">Linking a mobile number that differs from the Aadhaar-registered one, chained off a fresh Aadhaar enrollment. Corrected after two live failures — its banner explains why the obvious approach does not work.</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phr/email_verification.py</w:t>
            </w:r>
          </w:p>
        </w:tc>
        <w:tc>
          <w:tcPr>
            <w:tcW w:type="dxa" w:w="7440"/>
            <w:tcMar>
              <w:top w:type="dxa" w:w="60"/>
              <w:left w:type="dxa" w:w="110"/>
              <w:bottom w:type="dxa" w:w="60"/>
              <w:right w:type="dxa" w:w="110"/>
            </w:tcMar>
          </w:tcPr>
          <w:p>
            <w:pPr>
              <w:spacing w:line="240"/>
            </w:pPr>
            <w:r>
              <w:rPr>
                <w:sz w:val="18"/>
                <w:szCs w:val="18"/>
              </w:rPr>
              <w:t xml:space="preserve">Sends a real verification email. Fire and forget — no verify step exists anywhere in ABDM's own reference material.</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phr/abha_card.py</w:t>
            </w:r>
          </w:p>
        </w:tc>
        <w:tc>
          <w:tcPr>
            <w:tcW w:type="dxa" w:w="7440"/>
            <w:tcMar>
              <w:top w:type="dxa" w:w="60"/>
              <w:left w:type="dxa" w:w="110"/>
              <w:bottom w:type="dxa" w:w="60"/>
              <w:right w:type="dxa" w:w="110"/>
            </w:tcMar>
          </w:tcPr>
          <w:p>
            <w:pPr>
              <w:spacing w:line="240"/>
            </w:pPr>
            <w:r>
              <w:rPr>
                <w:sz w:val="18"/>
                <w:szCs w:val="18"/>
              </w:rPr>
              <w:t xml:space="preserve">Fetches the ABHA card. Returned base64-encoded inside JSON rather than as raw bytes, so the whole API surface stays JSON in, JSON out.</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phr/schemas.py</w:t>
            </w:r>
          </w:p>
        </w:tc>
        <w:tc>
          <w:tcPr>
            <w:tcW w:type="dxa" w:w="7440"/>
            <w:tcMar>
              <w:top w:type="dxa" w:w="60"/>
              <w:left w:type="dxa" w:w="110"/>
              <w:bottom w:type="dxa" w:w="60"/>
              <w:right w:type="dxa" w:w="110"/>
            </w:tcMar>
          </w:tcPr>
          <w:p>
            <w:pPr>
              <w:spacing w:line="240"/>
            </w:pPr>
            <w:r>
              <w:rPr>
                <w:sz w:val="18"/>
                <w:szCs w:val="18"/>
              </w:rPr>
              <w:t xml:space="preserve">Request models for this app's own routes. Deliberately no response models beyond what ABDM actually documents — routes hand back ABDM's raw body.</w:t>
            </w:r>
          </w:p>
        </w:tc>
      </w:tr>
    </w:tbl>
    <w:p>
      <w:pPr>
        <w:pStyle w:val="Heading2"/>
        <w:spacing w:after="60" w:before="240"/>
      </w:pPr>
      <w:r>
        <w:rPr>
          <w:b/>
          <w:bCs/>
          <w:color w:val="0E6E5C"/>
          <w:sz w:val="23"/>
          <w:szCs w:val="23"/>
        </w:rPr>
        <w:t xml:space="preserve">4.3 Records, consent and data</w:t>
      </w:r>
    </w:p>
    <w:p>
      <w:pPr>
        <w:spacing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440"/>
      </w:tblGrid>
      <w:tr>
        <w:trPr>
          <w:tblHeader/>
        </w:trPr>
        <w:tc>
          <w:tcPr>
            <w:tcW w:type="dxa" w:w="3000"/>
            <w:shd w:fill="F2F5F7" w:color="auto" w:val="clear"/>
            <w:tcMar>
              <w:top w:type="dxa" w:w="60"/>
              <w:left w:type="dxa" w:w="110"/>
              <w:bottom w:type="dxa" w:w="60"/>
              <w:right w:type="dxa" w:w="110"/>
            </w:tcMar>
          </w:tcPr>
          <w:p>
            <w:r>
              <w:rPr>
                <w:b/>
                <w:bCs/>
                <w:color w:val="1F3A5F"/>
                <w:sz w:val="18"/>
                <w:szCs w:val="18"/>
              </w:rPr>
              <w:t xml:space="preserve">File</w:t>
            </w:r>
          </w:p>
        </w:tc>
        <w:tc>
          <w:tcPr>
            <w:tcW w:type="dxa" w:w="7440"/>
            <w:shd w:fill="F2F5F7" w:color="auto" w:val="clear"/>
            <w:tcMar>
              <w:top w:type="dxa" w:w="60"/>
              <w:left w:type="dxa" w:w="110"/>
              <w:bottom w:type="dxa" w:w="60"/>
              <w:right w:type="dxa" w:w="110"/>
            </w:tcMar>
          </w:tcPr>
          <w:p>
            <w:r>
              <w:rPr>
                <w:b/>
                <w:bCs/>
                <w:color w:val="1F3A5F"/>
                <w:sz w:val="18"/>
                <w:szCs w:val="18"/>
              </w:rPr>
              <w:t xml:space="preserve">What it does</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phr/links.py</w:t>
            </w:r>
          </w:p>
        </w:tc>
        <w:tc>
          <w:tcPr>
            <w:tcW w:type="dxa" w:w="7440"/>
            <w:tcMar>
              <w:top w:type="dxa" w:w="60"/>
              <w:left w:type="dxa" w:w="110"/>
              <w:bottom w:type="dxa" w:w="60"/>
              <w:right w:type="dxa" w:w="110"/>
            </w:tcMar>
          </w:tcPr>
          <w:p>
            <w:pPr>
              <w:spacing w:line="240"/>
            </w:pPr>
            <w:r>
              <w:rPr>
                <w:sz w:val="18"/>
                <w:szCs w:val="18"/>
              </w:rPr>
              <w:t xml:space="preserve">"View All Linked Records" — every care context already linked to the patient's ABHA, regardless of which app or facility linked it. Read-only; linking never implies data access.</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phr/consent.py</w:t>
            </w:r>
          </w:p>
        </w:tc>
        <w:tc>
          <w:tcPr>
            <w:tcW w:type="dxa" w:w="7440"/>
            <w:tcMar>
              <w:top w:type="dxa" w:w="60"/>
              <w:left w:type="dxa" w:w="110"/>
              <w:bottom w:type="dxa" w:w="60"/>
              <w:right w:type="dxa" w:w="110"/>
            </w:tcMar>
          </w:tcPr>
          <w:p>
            <w:pPr>
              <w:spacing w:line="240"/>
            </w:pPr>
            <w:r>
              <w:rPr>
                <w:sz w:val="18"/>
                <w:szCs w:val="18"/>
              </w:rPr>
              <w:t xml:space="preserve">The Consent Manager: the consent-request inbox, request details, approve, deny, revoke, the artefact lookups, and the auto-approval policy calls (set a consent PIN, verify it, then enable a standing pre-approval). Eleven patient-facing flows in total.</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phr/data_flow.py</w:t>
            </w:r>
          </w:p>
        </w:tc>
        <w:tc>
          <w:tcPr>
            <w:tcW w:type="dxa" w:w="7440"/>
            <w:tcMar>
              <w:top w:type="dxa" w:w="60"/>
              <w:left w:type="dxa" w:w="110"/>
              <w:bottom w:type="dxa" w:w="60"/>
              <w:right w:type="dxa" w:w="110"/>
            </w:tcMar>
          </w:tcPr>
          <w:p>
            <w:pPr>
              <w:spacing w:line="240"/>
            </w:pPr>
            <w:r>
              <w:rPr>
                <w:sz w:val="18"/>
                <w:szCs w:val="18"/>
              </w:rPr>
              <w:t xml:space="preserve">The largest and most important module. This is how the patient actually reads their own records, and the only module that calls into the ABDM backend's code at runtime rather than calling ABDM itself — because the five ABDM endpoints involved require an HIU identity this app does not have of its own. Covers raising the app's own self-view consent, setting up auto-approval, discovering consents ABDM granted on its own, triggering a consent fetch, requesting the data, and polling for the result.</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phr/providers.py</w:t>
            </w:r>
          </w:p>
        </w:tc>
        <w:tc>
          <w:tcPr>
            <w:tcW w:type="dxa" w:w="7440"/>
            <w:tcMar>
              <w:top w:type="dxa" w:w="60"/>
              <w:left w:type="dxa" w:w="110"/>
              <w:bottom w:type="dxa" w:w="60"/>
              <w:right w:type="dxa" w:w="110"/>
            </w:tcMar>
          </w:tcPr>
          <w:p>
            <w:pPr>
              <w:spacing w:line="240"/>
            </w:pPr>
            <w:r>
              <w:rPr>
                <w:sz w:val="18"/>
                <w:szCs w:val="18"/>
              </w:rPr>
              <w:t xml:space="preserve">The provider directory: search all providers, look one up by ID, list government programmes. Three read-only lookups, no session token, no encryption.</w:t>
            </w:r>
          </w:p>
        </w:tc>
      </w:tr>
    </w:tbl>
    <w:p>
      <w:pPr>
        <w:pStyle w:val="Heading2"/>
        <w:spacing w:after="60" w:before="240"/>
      </w:pPr>
      <w:r>
        <w:rPr>
          <w:b/>
          <w:bCs/>
          <w:color w:val="0E6E5C"/>
          <w:sz w:val="23"/>
          <w:szCs w:val="23"/>
        </w:rPr>
        <w:t xml:space="preserve">4.4 User-Initiated Linking</w:t>
      </w:r>
    </w:p>
    <w:p>
      <w:pPr>
        <w:spacing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440"/>
      </w:tblGrid>
      <w:tr>
        <w:trPr>
          <w:tblHeader/>
        </w:trPr>
        <w:tc>
          <w:tcPr>
            <w:tcW w:type="dxa" w:w="3000"/>
            <w:shd w:fill="F2F5F7" w:color="auto" w:val="clear"/>
            <w:tcMar>
              <w:top w:type="dxa" w:w="60"/>
              <w:left w:type="dxa" w:w="110"/>
              <w:bottom w:type="dxa" w:w="60"/>
              <w:right w:type="dxa" w:w="110"/>
            </w:tcMar>
          </w:tcPr>
          <w:p>
            <w:r>
              <w:rPr>
                <w:b/>
                <w:bCs/>
                <w:color w:val="1F3A5F"/>
                <w:sz w:val="18"/>
                <w:szCs w:val="18"/>
              </w:rPr>
              <w:t xml:space="preserve">File</w:t>
            </w:r>
          </w:p>
        </w:tc>
        <w:tc>
          <w:tcPr>
            <w:tcW w:type="dxa" w:w="7440"/>
            <w:shd w:fill="F2F5F7" w:color="auto" w:val="clear"/>
            <w:tcMar>
              <w:top w:type="dxa" w:w="60"/>
              <w:left w:type="dxa" w:w="110"/>
              <w:bottom w:type="dxa" w:w="60"/>
              <w:right w:type="dxa" w:w="110"/>
            </w:tcMar>
          </w:tcPr>
          <w:p>
            <w:r>
              <w:rPr>
                <w:b/>
                <w:bCs/>
                <w:color w:val="1F3A5F"/>
                <w:sz w:val="18"/>
                <w:szCs w:val="18"/>
              </w:rPr>
              <w:t xml:space="preserve">What it does</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phr/uil.py</w:t>
            </w:r>
          </w:p>
        </w:tc>
        <w:tc>
          <w:tcPr>
            <w:tcW w:type="dxa" w:w="7440"/>
            <w:tcMar>
              <w:top w:type="dxa" w:w="60"/>
              <w:left w:type="dxa" w:w="110"/>
              <w:bottom w:type="dxa" w:w="60"/>
              <w:right w:type="dxa" w:w="110"/>
            </w:tcMar>
          </w:tcPr>
          <w:p>
            <w:pPr>
              <w:spacing w:line="240"/>
            </w:pPr>
            <w:r>
              <w:rPr>
                <w:sz w:val="18"/>
                <w:szCs w:val="18"/>
              </w:rPr>
              <w:t xml:space="preserve">The three outbound calls that let a patient find and link records a facility has not already linked: discover, link-init, link-confirm. Uses a header combination that appears nowhere else in this app.</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phr/uil_repository.py</w:t>
            </w:r>
          </w:p>
        </w:tc>
        <w:tc>
          <w:tcPr>
            <w:tcW w:type="dxa" w:w="7440"/>
            <w:tcMar>
              <w:top w:type="dxa" w:w="60"/>
              <w:left w:type="dxa" w:w="110"/>
              <w:bottom w:type="dxa" w:w="60"/>
              <w:right w:type="dxa" w:w="110"/>
            </w:tcMar>
          </w:tcPr>
          <w:p>
            <w:pPr>
              <w:spacing w:line="240"/>
            </w:pPr>
            <w:r>
              <w:rPr>
                <w:sz w:val="18"/>
                <w:szCs w:val="18"/>
              </w:rPr>
              <w:t xml:space="preserve">One row per outbound UIL call, so the matching callback can be correlated back to it.</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callbacks/uil_services.py</w:t>
            </w:r>
          </w:p>
        </w:tc>
        <w:tc>
          <w:tcPr>
            <w:tcW w:type="dxa" w:w="7440"/>
            <w:tcMar>
              <w:top w:type="dxa" w:w="60"/>
              <w:left w:type="dxa" w:w="110"/>
              <w:bottom w:type="dxa" w:w="60"/>
              <w:right w:type="dxa" w:w="110"/>
            </w:tcMar>
          </w:tcPr>
          <w:p>
            <w:pPr>
              <w:spacing w:line="240"/>
            </w:pPr>
            <w:r>
              <w:rPr>
                <w:sz w:val="18"/>
                <w:szCs w:val="18"/>
              </w:rPr>
              <w:t xml:space="preserve">The three inbound handlers — on-discover, on-init, on-confirm — each matching ABDM's callback back to the row created just before the call that triggered it.</w:t>
            </w:r>
          </w:p>
        </w:tc>
      </w:tr>
    </w:tbl>
    <w:p>
      <w:pPr>
        <w:pBdr>
          <w:left w:val="single" w:color="9A6700" w:sz="12" w:space="8"/>
        </w:pBdr>
        <w:spacing w:after="160" w:before="60" w:line="268"/>
        <w:ind w:left="220"/>
      </w:pPr>
      <w:r>
        <w:rPr>
          <w:b/>
          <w:bCs/>
          <w:color w:val="9A6700"/>
          <w:sz w:val="17"/>
          <w:szCs w:val="17"/>
        </w:rPr>
        <w:t xml:space="preserve">HEADS UP  </w:t>
      </w:r>
      <w:r>
        <w:rPr>
          <w:color w:val="333333"/>
          <w:sz w:val="19"/>
          <w:szCs w:val="19"/>
        </w:rPr>
        <w:t xml:space="preserve">This is built and wired end to end, but it has never completed successfully against the sandbox. Every live discover attempt on 5 September returned read timeouts and then HTTP 500 from ABDM. Whether that is an ABDM-side outage, a wrong header or a payload problem is unresolved — treat UIL as unproven, not working.</w:t>
      </w:r>
    </w:p>
    <w:p>
      <w:pPr>
        <w:pStyle w:val="Heading2"/>
        <w:spacing w:after="60" w:before="240"/>
      </w:pPr>
      <w:r>
        <w:rPr>
          <w:b/>
          <w:bCs/>
          <w:color w:val="0E6E5C"/>
          <w:sz w:val="23"/>
          <w:szCs w:val="23"/>
        </w:rPr>
        <w:t xml:space="preserve">4.5 Subscription and Health Locker</w:t>
      </w:r>
    </w:p>
    <w:p>
      <w:pPr>
        <w:spacing w:after="120" w:line="268"/>
      </w:pPr>
      <w:r>
        <w:rPr>
          <w:color w:val="222222"/>
          <w:sz w:val="20"/>
          <w:szCs w:val="20"/>
        </w:rPr>
        <w:t xml:space="preserve">Kept brief deliberately — see the status note below before spending time here.</w:t>
      </w:r>
    </w:p>
    <w:p>
      <w:pPr>
        <w:spacing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440"/>
      </w:tblGrid>
      <w:tr>
        <w:trPr>
          <w:tblHeader/>
        </w:trPr>
        <w:tc>
          <w:tcPr>
            <w:tcW w:type="dxa" w:w="3000"/>
            <w:shd w:fill="F2F5F7" w:color="auto" w:val="clear"/>
            <w:tcMar>
              <w:top w:type="dxa" w:w="60"/>
              <w:left w:type="dxa" w:w="110"/>
              <w:bottom w:type="dxa" w:w="60"/>
              <w:right w:type="dxa" w:w="110"/>
            </w:tcMar>
          </w:tcPr>
          <w:p>
            <w:r>
              <w:rPr>
                <w:b/>
                <w:bCs/>
                <w:color w:val="1F3A5F"/>
                <w:sz w:val="18"/>
                <w:szCs w:val="18"/>
              </w:rPr>
              <w:t xml:space="preserve">File</w:t>
            </w:r>
          </w:p>
        </w:tc>
        <w:tc>
          <w:tcPr>
            <w:tcW w:type="dxa" w:w="7440"/>
            <w:shd w:fill="F2F5F7" w:color="auto" w:val="clear"/>
            <w:tcMar>
              <w:top w:type="dxa" w:w="60"/>
              <w:left w:type="dxa" w:w="110"/>
              <w:bottom w:type="dxa" w:w="60"/>
              <w:right w:type="dxa" w:w="110"/>
            </w:tcMar>
          </w:tcPr>
          <w:p>
            <w:r>
              <w:rPr>
                <w:b/>
                <w:bCs/>
                <w:color w:val="1F3A5F"/>
                <w:sz w:val="18"/>
                <w:szCs w:val="18"/>
              </w:rPr>
              <w:t xml:space="preserve">What it does</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phr/subscription.py</w:t>
            </w:r>
          </w:p>
        </w:tc>
        <w:tc>
          <w:tcPr>
            <w:tcW w:type="dxa" w:w="7440"/>
            <w:tcMar>
              <w:top w:type="dxa" w:w="60"/>
              <w:left w:type="dxa" w:w="110"/>
              <w:bottom w:type="dxa" w:w="60"/>
              <w:right w:type="dxa" w:w="110"/>
            </w:tcMar>
          </w:tcPr>
          <w:p>
            <w:pPr>
              <w:spacing w:line="240"/>
            </w:pPr>
            <w:r>
              <w:rPr>
                <w:sz w:val="18"/>
                <w:szCs w:val="18"/>
              </w:rPr>
              <w:t xml:space="preserve">All fifteen Subscription and Health Locker calls: initiate and acknowledge a subscription, approve / deny / edit it, the various lookups, the locker list and detail, and Setup Locker. Split across two header shapes depending on whether the app is acting as the requester or as the patient's own UI.</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phr/subscription_repository.py</w:t>
            </w:r>
          </w:p>
        </w:tc>
        <w:tc>
          <w:tcPr>
            <w:tcW w:type="dxa" w:w="7440"/>
            <w:tcMar>
              <w:top w:type="dxa" w:w="60"/>
              <w:left w:type="dxa" w:w="110"/>
              <w:bottom w:type="dxa" w:w="60"/>
              <w:right w:type="dxa" w:w="110"/>
            </w:tcMar>
          </w:tcPr>
          <w:p>
            <w:pPr>
              <w:spacing w:line="240"/>
            </w:pPr>
            <w:r>
              <w:rPr>
                <w:sz w:val="18"/>
                <w:szCs w:val="18"/>
              </w:rPr>
              <w:t xml:space="preserve">Local rows tracking subscription requests raised from here.</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callbacks/subscription_services.py</w:t>
            </w:r>
          </w:p>
        </w:tc>
        <w:tc>
          <w:tcPr>
            <w:tcW w:type="dxa" w:w="7440"/>
            <w:tcMar>
              <w:top w:type="dxa" w:w="60"/>
              <w:left w:type="dxa" w:w="110"/>
              <w:bottom w:type="dxa" w:w="60"/>
              <w:right w:type="dxa" w:w="110"/>
            </w:tcMar>
          </w:tcPr>
          <w:p>
            <w:pPr>
              <w:spacing w:line="240"/>
            </w:pPr>
            <w:r>
              <w:rPr>
                <w:sz w:val="18"/>
                <w:szCs w:val="18"/>
              </w:rPr>
              <w:t xml:space="preserve">The three inbound subscription callback handlers.</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testui/.../SubscriptionsScreen.tsx</w:t>
            </w:r>
          </w:p>
        </w:tc>
        <w:tc>
          <w:tcPr>
            <w:tcW w:type="dxa" w:w="7440"/>
            <w:tcMar>
              <w:top w:type="dxa" w:w="60"/>
              <w:left w:type="dxa" w:w="110"/>
              <w:bottom w:type="dxa" w:w="60"/>
              <w:right w:type="dxa" w:w="110"/>
            </w:tcMar>
          </w:tcPr>
          <w:p>
            <w:pPr>
              <w:spacing w:line="240"/>
            </w:pPr>
            <w:r>
              <w:rPr>
                <w:sz w:val="18"/>
                <w:szCs w:val="18"/>
              </w:rPr>
              <w:t xml:space="preserve">The screen that drives all of the above, including a Setup Locker button with a free-text locker ID field.</w:t>
            </w:r>
          </w:p>
        </w:tc>
      </w:tr>
    </w:tbl>
    <w:p>
      <w:pPr>
        <w:pBdr>
          <w:left w:val="single" w:color="9B2226" w:sz="12" w:space="8"/>
        </w:pBdr>
        <w:spacing w:after="160" w:before="60" w:line="268"/>
        <w:ind w:left="220"/>
      </w:pPr>
      <w:r>
        <w:rPr>
          <w:b/>
          <w:bCs/>
          <w:color w:val="9B2226"/>
          <w:sz w:val="17"/>
          <w:szCs w:val="17"/>
        </w:rPr>
        <w:t xml:space="preserve">NOT WORKING YET  </w:t>
      </w:r>
      <w:r>
        <w:rPr>
          <w:color w:val="333333"/>
          <w:sz w:val="19"/>
          <w:szCs w:val="19"/>
        </w:rPr>
        <w:t xml:space="preserve">None of this has ever worked against the sandbox. Every subscription-init attempt on 3 September returned HTTP 400 — with five different identity values tried in turn, which is the signature of the account not being permitted at all rather than a wrong value. Setup Locker has never once been submitted live; there is no trace of it in any log, on any date. The working theory is that the service was never registered with ABDM as a Health Locker / PHR in the first place, and a task specification to investigate that from scratch has been written but not yet run. Do not treat any of this code as validated, and do not build on top of it without re-deriving the behaviour first.</w:t>
      </w:r>
    </w:p>
    <w:p>
      <w:pPr>
        <w:pStyle w:val="Heading2"/>
        <w:spacing w:after="60" w:before="240"/>
      </w:pPr>
      <w:r>
        <w:rPr>
          <w:b/>
          <w:bCs/>
          <w:color w:val="0E6E5C"/>
          <w:sz w:val="23"/>
          <w:szCs w:val="23"/>
        </w:rPr>
        <w:t xml:space="preserve">4.6 Inbound callbacks</w:t>
      </w:r>
    </w:p>
    <w:p>
      <w:pPr>
        <w:spacing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440"/>
      </w:tblGrid>
      <w:tr>
        <w:trPr>
          <w:tblHeader/>
        </w:trPr>
        <w:tc>
          <w:tcPr>
            <w:tcW w:type="dxa" w:w="3000"/>
            <w:shd w:fill="F2F5F7" w:color="auto" w:val="clear"/>
            <w:tcMar>
              <w:top w:type="dxa" w:w="60"/>
              <w:left w:type="dxa" w:w="110"/>
              <w:bottom w:type="dxa" w:w="60"/>
              <w:right w:type="dxa" w:w="110"/>
            </w:tcMar>
          </w:tcPr>
          <w:p>
            <w:r>
              <w:rPr>
                <w:b/>
                <w:bCs/>
                <w:color w:val="1F3A5F"/>
                <w:sz w:val="18"/>
                <w:szCs w:val="18"/>
              </w:rPr>
              <w:t xml:space="preserve">File</w:t>
            </w:r>
          </w:p>
        </w:tc>
        <w:tc>
          <w:tcPr>
            <w:tcW w:type="dxa" w:w="7440"/>
            <w:shd w:fill="F2F5F7" w:color="auto" w:val="clear"/>
            <w:tcMar>
              <w:top w:type="dxa" w:w="60"/>
              <w:left w:type="dxa" w:w="110"/>
              <w:bottom w:type="dxa" w:w="60"/>
              <w:right w:type="dxa" w:w="110"/>
            </w:tcMar>
          </w:tcPr>
          <w:p>
            <w:r>
              <w:rPr>
                <w:b/>
                <w:bCs/>
                <w:color w:val="1F3A5F"/>
                <w:sz w:val="18"/>
                <w:szCs w:val="18"/>
              </w:rPr>
              <w:t xml:space="preserve">What it does</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callbacks/router.py</w:t>
            </w:r>
          </w:p>
        </w:tc>
        <w:tc>
          <w:tcPr>
            <w:tcW w:type="dxa" w:w="7440"/>
            <w:tcMar>
              <w:top w:type="dxa" w:w="60"/>
              <w:left w:type="dxa" w:w="110"/>
              <w:bottom w:type="dxa" w:w="60"/>
              <w:right w:type="dxa" w:w="110"/>
            </w:tcMar>
          </w:tcPr>
          <w:p>
            <w:pPr>
              <w:spacing w:line="240"/>
            </w:pPr>
            <w:r>
              <w:rPr>
                <w:sz w:val="18"/>
                <w:szCs w:val="18"/>
              </w:rPr>
              <w:t xml:space="preserve">The seven callback paths this app owns — three for UIL, one for profile share, three for subscription — plus an explicit list of four paths it deliberately does not own, because the ABDM backend already claims them. Each route archives first, then calls the real handler if one exists.</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callbacks/dispatcher.py</w:t>
            </w:r>
          </w:p>
        </w:tc>
        <w:tc>
          <w:tcPr>
            <w:tcW w:type="dxa" w:w="7440"/>
            <w:tcMar>
              <w:top w:type="dxa" w:w="60"/>
              <w:left w:type="dxa" w:w="110"/>
              <w:bottom w:type="dxa" w:w="60"/>
              <w:right w:type="dxa" w:w="110"/>
            </w:tcMar>
          </w:tcPr>
          <w:p>
            <w:pPr>
              <w:spacing w:line="240"/>
            </w:pPr>
            <w:r>
              <w:rPr>
                <w:sz w:val="18"/>
                <w:szCs w:val="18"/>
              </w:rPr>
              <w:t xml:space="preserve">One entry point for every callback. Archives the payload verbatim as JSONB and never raises: a bug on our side must not reach ABDM as a 500, because that changes ABDM's retry behaviour for a problem that is entirely ours.</w:t>
            </w:r>
          </w:p>
        </w:tc>
      </w:tr>
    </w:tbl>
    <w:p>
      <w:pPr>
        <w:spacing w:after="120" w:line="268"/>
      </w:pPr>
      <w:r>
        <w:rPr>
          <w:color w:val="222222"/>
          <w:sz w:val="20"/>
          <w:szCs w:val="20"/>
        </w:rPr>
        <w:t xml:space="preserve">The </w:t>
      </w:r>
      <w:r>
        <w:rPr>
          <w:rFonts w:ascii="Consolas" w:cs="Consolas" w:eastAsia="Consolas" w:hAnsi="Consolas"/>
          <w:color w:val="0B4F6C"/>
          <w:sz w:val="18"/>
          <w:szCs w:val="18"/>
        </w:rPr>
        <w:t xml:space="preserve">on_share</w:t>
      </w:r>
      <w:r>
        <w:rPr>
          <w:color w:val="222222"/>
          <w:sz w:val="20"/>
          <w:szCs w:val="20"/>
        </w:rPr>
        <w:t xml:space="preserve"> callback (for Scan and Share) is registered but archive-only — nothing has been built behind it yet.</w:t>
      </w:r>
    </w:p>
    <w:p>
      <w:pPr>
        <w:pStyle w:val="Heading2"/>
        <w:spacing w:after="60" w:before="240"/>
      </w:pPr>
      <w:r>
        <w:rPr>
          <w:b/>
          <w:bCs/>
          <w:color w:val="0E6E5C"/>
          <w:sz w:val="23"/>
          <w:szCs w:val="23"/>
        </w:rPr>
        <w:t xml:space="preserve">4.7 Cross-cutting</w:t>
      </w:r>
    </w:p>
    <w:p>
      <w:pPr>
        <w:spacing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440"/>
      </w:tblGrid>
      <w:tr>
        <w:trPr>
          <w:tblHeader/>
        </w:trPr>
        <w:tc>
          <w:tcPr>
            <w:tcW w:type="dxa" w:w="3000"/>
            <w:shd w:fill="F2F5F7" w:color="auto" w:val="clear"/>
            <w:tcMar>
              <w:top w:type="dxa" w:w="60"/>
              <w:left w:type="dxa" w:w="110"/>
              <w:bottom w:type="dxa" w:w="60"/>
              <w:right w:type="dxa" w:w="110"/>
            </w:tcMar>
          </w:tcPr>
          <w:p>
            <w:r>
              <w:rPr>
                <w:b/>
                <w:bCs/>
                <w:color w:val="1F3A5F"/>
                <w:sz w:val="18"/>
                <w:szCs w:val="18"/>
              </w:rPr>
              <w:t xml:space="preserve">File</w:t>
            </w:r>
          </w:p>
        </w:tc>
        <w:tc>
          <w:tcPr>
            <w:tcW w:type="dxa" w:w="7440"/>
            <w:shd w:fill="F2F5F7" w:color="auto" w:val="clear"/>
            <w:tcMar>
              <w:top w:type="dxa" w:w="60"/>
              <w:left w:type="dxa" w:w="110"/>
              <w:bottom w:type="dxa" w:w="60"/>
              <w:right w:type="dxa" w:w="110"/>
            </w:tcMar>
          </w:tcPr>
          <w:p>
            <w:r>
              <w:rPr>
                <w:b/>
                <w:bCs/>
                <w:color w:val="1F3A5F"/>
                <w:sz w:val="18"/>
                <w:szCs w:val="18"/>
              </w:rPr>
              <w:t xml:space="preserve">What it does</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phr/redaction.py</w:t>
            </w:r>
          </w:p>
        </w:tc>
        <w:tc>
          <w:tcPr>
            <w:tcW w:type="dxa" w:w="7440"/>
            <w:tcMar>
              <w:top w:type="dxa" w:w="60"/>
              <w:left w:type="dxa" w:w="110"/>
              <w:bottom w:type="dxa" w:w="60"/>
              <w:right w:type="dxa" w:w="110"/>
            </w:tcMar>
          </w:tcPr>
          <w:p>
            <w:pPr>
              <w:spacing w:line="240"/>
            </w:pPr>
            <w:r>
              <w:rPr>
                <w:sz w:val="18"/>
                <w:szCs w:val="18"/>
              </w:rPr>
              <w:t xml:space="preserve">Keeps plaintext mobile numbers, OTPs, passwords and tokens out of the archive and the logs. Two independent layers — key-based and value-based — because either alone is a single point of failure for a leak that is invisible once it has happened.</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phr/call_log.py</w:t>
            </w:r>
          </w:p>
        </w:tc>
        <w:tc>
          <w:tcPr>
            <w:tcW w:type="dxa" w:w="7440"/>
            <w:tcMar>
              <w:top w:type="dxa" w:w="60"/>
              <w:left w:type="dxa" w:w="110"/>
              <w:bottom w:type="dxa" w:w="60"/>
              <w:right w:type="dxa" w:w="110"/>
            </w:tcMar>
          </w:tcPr>
          <w:p>
            <w:pPr>
              <w:spacing w:line="240"/>
            </w:pPr>
            <w:r>
              <w:rPr>
                <w:sz w:val="18"/>
                <w:szCs w:val="18"/>
              </w:rPr>
              <w:t xml:space="preserve">Writes one row per outbound ABDM call, after redaction. Never raises: losing an archive row must not fail the call it is observing.</w:t>
            </w:r>
          </w:p>
        </w:tc>
      </w:tr>
      <w:tr>
        <w:tc>
          <w:tcPr>
            <w:tcW w:type="dxa" w:w="3000"/>
            <w:tcMar>
              <w:top w:type="dxa" w:w="60"/>
              <w:left w:type="dxa" w:w="110"/>
              <w:bottom w:type="dxa" w:w="60"/>
              <w:right w:type="dxa" w:w="110"/>
            </w:tcMar>
          </w:tcPr>
          <w:p>
            <w:r>
              <w:rPr>
                <w:rFonts w:ascii="Consolas" w:cs="Consolas" w:eastAsia="Consolas" w:hAnsi="Consolas"/>
                <w:color w:val="0B4F6C"/>
                <w:sz w:val="17"/>
                <w:szCs w:val="17"/>
              </w:rPr>
              <w:t xml:space="preserve">alembic/versions/*</w:t>
            </w:r>
          </w:p>
        </w:tc>
        <w:tc>
          <w:tcPr>
            <w:tcW w:type="dxa" w:w="7440"/>
            <w:tcMar>
              <w:top w:type="dxa" w:w="60"/>
              <w:left w:type="dxa" w:w="110"/>
              <w:bottom w:type="dxa" w:w="60"/>
              <w:right w:type="dxa" w:w="110"/>
            </w:tcMar>
          </w:tcPr>
          <w:p>
            <w:pPr>
              <w:spacing w:line="240"/>
            </w:pPr>
            <w:r>
              <w:rPr>
                <w:sz w:val="18"/>
                <w:szCs w:val="18"/>
              </w:rPr>
              <w:t xml:space="preserve">Four migrations, one per table, in the order the features were built.</w:t>
            </w:r>
          </w:p>
        </w:tc>
      </w:tr>
    </w:tbl>
    <w:p>
      <w:pPr>
        <w:pStyle w:val="Heading2"/>
        <w:spacing w:after="60" w:before="240"/>
      </w:pPr>
      <w:r>
        <w:rPr>
          <w:b/>
          <w:bCs/>
          <w:color w:val="0E6E5C"/>
          <w:sz w:val="23"/>
          <w:szCs w:val="23"/>
        </w:rPr>
        <w:t xml:space="preserve">4.8 The test UI</w:t>
      </w:r>
    </w:p>
    <w:p>
      <w:pPr>
        <w:spacing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7140"/>
      </w:tblGrid>
      <w:tr>
        <w:trPr>
          <w:tblHeader/>
        </w:trPr>
        <w:tc>
          <w:tcPr>
            <w:tcW w:type="dxa" w:w="3300"/>
            <w:shd w:fill="F2F5F7" w:color="auto" w:val="clear"/>
            <w:tcMar>
              <w:top w:type="dxa" w:w="60"/>
              <w:left w:type="dxa" w:w="110"/>
              <w:bottom w:type="dxa" w:w="60"/>
              <w:right w:type="dxa" w:w="110"/>
            </w:tcMar>
          </w:tcPr>
          <w:p>
            <w:r>
              <w:rPr>
                <w:b/>
                <w:bCs/>
                <w:color w:val="1F3A5F"/>
                <w:sz w:val="18"/>
                <w:szCs w:val="18"/>
              </w:rPr>
              <w:t xml:space="preserve">File</w:t>
            </w:r>
          </w:p>
        </w:tc>
        <w:tc>
          <w:tcPr>
            <w:tcW w:type="dxa" w:w="7140"/>
            <w:shd w:fill="F2F5F7" w:color="auto" w:val="clear"/>
            <w:tcMar>
              <w:top w:type="dxa" w:w="60"/>
              <w:left w:type="dxa" w:w="110"/>
              <w:bottom w:type="dxa" w:w="60"/>
              <w:right w:type="dxa" w:w="110"/>
            </w:tcMar>
          </w:tcPr>
          <w:p>
            <w:r>
              <w:rPr>
                <w:b/>
                <w:bCs/>
                <w:color w:val="1F3A5F"/>
                <w:sz w:val="18"/>
                <w:szCs w:val="18"/>
              </w:rPr>
              <w:t xml:space="preserve">What it does</w:t>
            </w:r>
          </w:p>
        </w:tc>
      </w:tr>
      <w:tr>
        <w:tc>
          <w:tcPr>
            <w:tcW w:type="dxa" w:w="3300"/>
            <w:tcMar>
              <w:top w:type="dxa" w:w="60"/>
              <w:left w:type="dxa" w:w="110"/>
              <w:bottom w:type="dxa" w:w="60"/>
              <w:right w:type="dxa" w:w="110"/>
            </w:tcMar>
          </w:tcPr>
          <w:p>
            <w:r>
              <w:rPr>
                <w:rFonts w:ascii="Consolas" w:cs="Consolas" w:eastAsia="Consolas" w:hAnsi="Consolas"/>
                <w:color w:val="0B4F6C"/>
                <w:sz w:val="17"/>
                <w:szCs w:val="17"/>
              </w:rPr>
              <w:t xml:space="preserve">src/App.tsx</w:t>
            </w:r>
          </w:p>
        </w:tc>
        <w:tc>
          <w:tcPr>
            <w:tcW w:type="dxa" w:w="7140"/>
            <w:tcMar>
              <w:top w:type="dxa" w:w="60"/>
              <w:left w:type="dxa" w:w="110"/>
              <w:bottom w:type="dxa" w:w="60"/>
              <w:right w:type="dxa" w:w="110"/>
            </w:tcMar>
          </w:tcPr>
          <w:p>
            <w:pPr>
              <w:spacing w:line="240"/>
            </w:pPr>
            <w:r>
              <w:rPr>
                <w:sz w:val="18"/>
                <w:szCs w:val="18"/>
              </w:rPr>
              <w:t xml:space="preserve">The route table and app shell: a top bar, a bottom tab bar, and a drawer holding the developer controls. Read this first to see what screens exist.</w:t>
            </w:r>
          </w:p>
        </w:tc>
      </w:tr>
      <w:tr>
        <w:tc>
          <w:tcPr>
            <w:tcW w:type="dxa" w:w="3300"/>
            <w:tcMar>
              <w:top w:type="dxa" w:w="60"/>
              <w:left w:type="dxa" w:w="110"/>
              <w:bottom w:type="dxa" w:w="60"/>
              <w:right w:type="dxa" w:w="110"/>
            </w:tcMar>
          </w:tcPr>
          <w:p>
            <w:r>
              <w:rPr>
                <w:rFonts w:ascii="Consolas" w:cs="Consolas" w:eastAsia="Consolas" w:hAnsi="Consolas"/>
                <w:color w:val="0B4F6C"/>
                <w:sz w:val="17"/>
                <w:szCs w:val="17"/>
              </w:rPr>
              <w:t xml:space="preserve">src/api/client.ts</w:t>
            </w:r>
          </w:p>
        </w:tc>
        <w:tc>
          <w:tcPr>
            <w:tcW w:type="dxa" w:w="7140"/>
            <w:tcMar>
              <w:top w:type="dxa" w:w="60"/>
              <w:left w:type="dxa" w:w="110"/>
              <w:bottom w:type="dxa" w:w="60"/>
              <w:right w:type="dxa" w:w="110"/>
            </w:tcMar>
          </w:tcPr>
          <w:p>
            <w:pPr>
              <w:spacing w:line="240"/>
            </w:pPr>
            <w:r>
              <w:rPr>
                <w:sz w:val="18"/>
                <w:szCs w:val="18"/>
              </w:rPr>
              <w:t xml:space="preserve">The single HTTP choke point. fetch appears nowhere else in the source — every screen goes through here, which is what gives the Console panel complete visibility for free.</w:t>
            </w:r>
          </w:p>
        </w:tc>
      </w:tr>
      <w:tr>
        <w:tc>
          <w:tcPr>
            <w:tcW w:type="dxa" w:w="3300"/>
            <w:tcMar>
              <w:top w:type="dxa" w:w="60"/>
              <w:left w:type="dxa" w:w="110"/>
              <w:bottom w:type="dxa" w:w="60"/>
              <w:right w:type="dxa" w:w="110"/>
            </w:tcMar>
          </w:tcPr>
          <w:p>
            <w:r>
              <w:rPr>
                <w:rFonts w:ascii="Consolas" w:cs="Consolas" w:eastAsia="Consolas" w:hAnsi="Consolas"/>
                <w:color w:val="0B4F6C"/>
                <w:sz w:val="17"/>
                <w:szCs w:val="17"/>
              </w:rPr>
              <w:t xml:space="preserve">src/api/endpoints.ts</w:t>
            </w:r>
          </w:p>
        </w:tc>
        <w:tc>
          <w:tcPr>
            <w:tcW w:type="dxa" w:w="7140"/>
            <w:tcMar>
              <w:top w:type="dxa" w:w="60"/>
              <w:left w:type="dxa" w:w="110"/>
              <w:bottom w:type="dxa" w:w="60"/>
              <w:right w:type="dxa" w:w="110"/>
            </w:tcMar>
          </w:tcPr>
          <w:p>
            <w:pPr>
              <w:spacing w:line="240"/>
            </w:pPr>
            <w:r>
              <w:rPr>
                <w:sz w:val="18"/>
                <w:szCs w:val="18"/>
              </w:rPr>
              <w:t xml:space="preserve">One typed function per backend route.</w:t>
            </w:r>
          </w:p>
        </w:tc>
      </w:tr>
      <w:tr>
        <w:tc>
          <w:tcPr>
            <w:tcW w:type="dxa" w:w="3300"/>
            <w:tcMar>
              <w:top w:type="dxa" w:w="60"/>
              <w:left w:type="dxa" w:w="110"/>
              <w:bottom w:type="dxa" w:w="60"/>
              <w:right w:type="dxa" w:w="110"/>
            </w:tcMar>
          </w:tcPr>
          <w:p>
            <w:r>
              <w:rPr>
                <w:rFonts w:ascii="Consolas" w:cs="Consolas" w:eastAsia="Consolas" w:hAnsi="Consolas"/>
                <w:color w:val="0B4F6C"/>
                <w:sz w:val="17"/>
                <w:szCs w:val="17"/>
              </w:rPr>
              <w:t xml:space="preserve">src/components/ConsolePanel.tsx</w:t>
            </w:r>
          </w:p>
        </w:tc>
        <w:tc>
          <w:tcPr>
            <w:tcW w:type="dxa" w:w="7140"/>
            <w:tcMar>
              <w:top w:type="dxa" w:w="60"/>
              <w:left w:type="dxa" w:w="110"/>
              <w:bottom w:type="dxa" w:w="60"/>
              <w:right w:type="dxa" w:w="110"/>
            </w:tcMar>
          </w:tcPr>
          <w:p>
            <w:pPr>
              <w:spacing w:line="240"/>
            </w:pPr>
            <w:r>
              <w:rPr>
                <w:sz w:val="18"/>
                <w:szCs w:val="18"/>
              </w:rPr>
              <w:t xml:space="preserve">The live request/response inspector. The main reason this harness exists.</w:t>
            </w:r>
          </w:p>
        </w:tc>
      </w:tr>
      <w:tr>
        <w:tc>
          <w:tcPr>
            <w:tcW w:type="dxa" w:w="3300"/>
            <w:tcMar>
              <w:top w:type="dxa" w:w="60"/>
              <w:left w:type="dxa" w:w="110"/>
              <w:bottom w:type="dxa" w:w="60"/>
              <w:right w:type="dxa" w:w="110"/>
            </w:tcMar>
          </w:tcPr>
          <w:p>
            <w:r>
              <w:rPr>
                <w:rFonts w:ascii="Consolas" w:cs="Consolas" w:eastAsia="Consolas" w:hAnsi="Consolas"/>
                <w:color w:val="0B4F6C"/>
                <w:sz w:val="17"/>
                <w:szCs w:val="17"/>
              </w:rPr>
              <w:t xml:space="preserve">src/components/ui/</w:t>
            </w:r>
          </w:p>
        </w:tc>
        <w:tc>
          <w:tcPr>
            <w:tcW w:type="dxa" w:w="7140"/>
            <w:tcMar>
              <w:top w:type="dxa" w:w="60"/>
              <w:left w:type="dxa" w:w="110"/>
              <w:bottom w:type="dxa" w:w="60"/>
              <w:right w:type="dxa" w:w="110"/>
            </w:tcMar>
          </w:tcPr>
          <w:p>
            <w:pPr>
              <w:spacing w:line="240"/>
            </w:pPr>
            <w:r>
              <w:rPr>
                <w:sz w:val="18"/>
                <w:szCs w:val="18"/>
              </w:rPr>
              <w:t xml:space="preserve">The shared component set — cards, list rows, info rows, badges, segmented controls, the nav bars and the profile header.</w:t>
            </w:r>
          </w:p>
        </w:tc>
      </w:tr>
      <w:tr>
        <w:tc>
          <w:tcPr>
            <w:tcW w:type="dxa" w:w="3300"/>
            <w:tcMar>
              <w:top w:type="dxa" w:w="60"/>
              <w:left w:type="dxa" w:w="110"/>
              <w:bottom w:type="dxa" w:w="60"/>
              <w:right w:type="dxa" w:w="110"/>
            </w:tcMar>
          </w:tcPr>
          <w:p>
            <w:r>
              <w:rPr>
                <w:rFonts w:ascii="Consolas" w:cs="Consolas" w:eastAsia="Consolas" w:hAnsi="Consolas"/>
                <w:color w:val="0B4F6C"/>
                <w:sz w:val="17"/>
                <w:szCs w:val="17"/>
              </w:rPr>
              <w:t xml:space="preserve">src/routes/HomeScreen.tsx</w:t>
            </w:r>
          </w:p>
        </w:tc>
        <w:tc>
          <w:tcPr>
            <w:tcW w:type="dxa" w:w="7140"/>
            <w:tcMar>
              <w:top w:type="dxa" w:w="60"/>
              <w:left w:type="dxa" w:w="110"/>
              <w:bottom w:type="dxa" w:w="60"/>
              <w:right w:type="dxa" w:w="110"/>
            </w:tcMar>
          </w:tcPr>
          <w:p>
            <w:pPr>
              <w:spacing w:line="240"/>
            </w:pPr>
            <w:r>
              <w:rPr>
                <w:sz w:val="18"/>
                <w:szCs w:val="18"/>
              </w:rPr>
              <w:t xml:space="preserve">The biggest screen by far. Post-login landing, the linked-records drill-down (facility, then record, then decrypted content), the self-view consent state machine, and a FHIR reader that turns raw bundles into something a person can read.</w:t>
            </w:r>
          </w:p>
        </w:tc>
      </w:tr>
      <w:tr>
        <w:tc>
          <w:tcPr>
            <w:tcW w:type="dxa" w:w="3300"/>
            <w:tcMar>
              <w:top w:type="dxa" w:w="60"/>
              <w:left w:type="dxa" w:w="110"/>
              <w:bottom w:type="dxa" w:w="60"/>
              <w:right w:type="dxa" w:w="110"/>
            </w:tcMar>
          </w:tcPr>
          <w:p>
            <w:r>
              <w:rPr>
                <w:rFonts w:ascii="Consolas" w:cs="Consolas" w:eastAsia="Consolas" w:hAnsi="Consolas"/>
                <w:color w:val="0B4F6C"/>
                <w:sz w:val="17"/>
                <w:szCs w:val="17"/>
              </w:rPr>
              <w:t xml:space="preserve">src/routes/ConsentScreen.tsx</w:t>
            </w:r>
          </w:p>
        </w:tc>
        <w:tc>
          <w:tcPr>
            <w:tcW w:type="dxa" w:w="7140"/>
            <w:tcMar>
              <w:top w:type="dxa" w:w="60"/>
              <w:left w:type="dxa" w:w="110"/>
              <w:bottom w:type="dxa" w:w="60"/>
              <w:right w:type="dxa" w:w="110"/>
            </w:tcMar>
          </w:tcPr>
          <w:p>
            <w:pPr>
              <w:spacing w:line="240"/>
            </w:pPr>
            <w:r>
              <w:rPr>
                <w:sz w:val="18"/>
                <w:szCs w:val="18"/>
              </w:rPr>
              <w:t xml:space="preserve">The consent inbox and active-consent management.</w:t>
            </w:r>
          </w:p>
        </w:tc>
      </w:tr>
      <w:tr>
        <w:tc>
          <w:tcPr>
            <w:tcW w:type="dxa" w:w="3300"/>
            <w:tcMar>
              <w:top w:type="dxa" w:w="60"/>
              <w:left w:type="dxa" w:w="110"/>
              <w:bottom w:type="dxa" w:w="60"/>
              <w:right w:type="dxa" w:w="110"/>
            </w:tcMar>
          </w:tcPr>
          <w:p>
            <w:r>
              <w:rPr>
                <w:rFonts w:ascii="Consolas" w:cs="Consolas" w:eastAsia="Consolas" w:hAnsi="Consolas"/>
                <w:color w:val="0B4F6C"/>
                <w:sz w:val="17"/>
                <w:szCs w:val="17"/>
              </w:rPr>
              <w:t xml:space="preserve">src/routes/ProfileScreen.tsx</w:t>
            </w:r>
          </w:p>
        </w:tc>
        <w:tc>
          <w:tcPr>
            <w:tcW w:type="dxa" w:w="7140"/>
            <w:tcMar>
              <w:top w:type="dxa" w:w="60"/>
              <w:left w:type="dxa" w:w="110"/>
              <w:bottom w:type="dxa" w:w="60"/>
              <w:right w:type="dxa" w:w="110"/>
            </w:tcMar>
          </w:tcPr>
          <w:p>
            <w:pPr>
              <w:spacing w:line="240"/>
            </w:pPr>
            <w:r>
              <w:rPr>
                <w:sz w:val="18"/>
                <w:szCs w:val="18"/>
              </w:rPr>
              <w:t xml:space="preserve">Profile view and every update flow.</w:t>
            </w:r>
          </w:p>
        </w:tc>
      </w:tr>
      <w:tr>
        <w:tc>
          <w:tcPr>
            <w:tcW w:type="dxa" w:w="3300"/>
            <w:tcMar>
              <w:top w:type="dxa" w:w="60"/>
              <w:left w:type="dxa" w:w="110"/>
              <w:bottom w:type="dxa" w:w="60"/>
              <w:right w:type="dxa" w:w="110"/>
            </w:tcMar>
          </w:tcPr>
          <w:p>
            <w:r>
              <w:rPr>
                <w:rFonts w:ascii="Consolas" w:cs="Consolas" w:eastAsia="Consolas" w:hAnsi="Consolas"/>
                <w:color w:val="0B4F6C"/>
                <w:sz w:val="17"/>
                <w:szCs w:val="17"/>
              </w:rPr>
              <w:t xml:space="preserve">src/routes/ProviderDirectoryScreen.tsx</w:t>
            </w:r>
          </w:p>
        </w:tc>
        <w:tc>
          <w:tcPr>
            <w:tcW w:type="dxa" w:w="7140"/>
            <w:tcMar>
              <w:top w:type="dxa" w:w="60"/>
              <w:left w:type="dxa" w:w="110"/>
              <w:bottom w:type="dxa" w:w="60"/>
              <w:right w:type="dxa" w:w="110"/>
            </w:tcMar>
          </w:tcPr>
          <w:p>
            <w:pPr>
              <w:spacing w:line="240"/>
            </w:pPr>
            <w:r>
              <w:rPr>
                <w:sz w:val="18"/>
                <w:szCs w:val="18"/>
              </w:rPr>
              <w:t xml:space="preserve">Provider search, and the entry point into UIL.</w:t>
            </w:r>
          </w:p>
        </w:tc>
      </w:tr>
      <w:tr>
        <w:tc>
          <w:tcPr>
            <w:tcW w:type="dxa" w:w="3300"/>
            <w:tcMar>
              <w:top w:type="dxa" w:w="60"/>
              <w:left w:type="dxa" w:w="110"/>
              <w:bottom w:type="dxa" w:w="60"/>
              <w:right w:type="dxa" w:w="110"/>
            </w:tcMar>
          </w:tcPr>
          <w:p>
            <w:r>
              <w:rPr>
                <w:rFonts w:ascii="Consolas" w:cs="Consolas" w:eastAsia="Consolas" w:hAnsi="Consolas"/>
                <w:color w:val="0B4F6C"/>
                <w:sz w:val="17"/>
                <w:szCs w:val="17"/>
              </w:rPr>
              <w:t xml:space="preserve">src/routes/UilLinkScreen.tsx</w:t>
            </w:r>
          </w:p>
        </w:tc>
        <w:tc>
          <w:tcPr>
            <w:tcW w:type="dxa" w:w="7140"/>
            <w:tcMar>
              <w:top w:type="dxa" w:w="60"/>
              <w:left w:type="dxa" w:w="110"/>
              <w:bottom w:type="dxa" w:w="60"/>
              <w:right w:type="dxa" w:w="110"/>
            </w:tcMar>
          </w:tcPr>
          <w:p>
            <w:pPr>
              <w:spacing w:line="240"/>
            </w:pPr>
            <w:r>
              <w:rPr>
                <w:sz w:val="18"/>
                <w:szCs w:val="18"/>
              </w:rPr>
              <w:t xml:space="preserve">The discover / OTP / confirm linking journey.</w:t>
            </w:r>
          </w:p>
        </w:tc>
      </w:tr>
      <w:tr>
        <w:tc>
          <w:tcPr>
            <w:tcW w:type="dxa" w:w="3300"/>
            <w:tcMar>
              <w:top w:type="dxa" w:w="60"/>
              <w:left w:type="dxa" w:w="110"/>
              <w:bottom w:type="dxa" w:w="60"/>
              <w:right w:type="dxa" w:w="110"/>
            </w:tcMar>
          </w:tcPr>
          <w:p>
            <w:r>
              <w:rPr>
                <w:rFonts w:ascii="Consolas" w:cs="Consolas" w:eastAsia="Consolas" w:hAnsi="Consolas"/>
                <w:color w:val="0B4F6C"/>
                <w:sz w:val="17"/>
                <w:szCs w:val="17"/>
              </w:rPr>
              <w:t xml:space="preserve">src/routes/SubscriptionsScreen.tsx</w:t>
            </w:r>
          </w:p>
        </w:tc>
        <w:tc>
          <w:tcPr>
            <w:tcW w:type="dxa" w:w="7140"/>
            <w:tcMar>
              <w:top w:type="dxa" w:w="60"/>
              <w:left w:type="dxa" w:w="110"/>
              <w:bottom w:type="dxa" w:w="60"/>
              <w:right w:type="dxa" w:w="110"/>
            </w:tcMar>
          </w:tcPr>
          <w:p>
            <w:pPr>
              <w:spacing w:line="240"/>
            </w:pPr>
            <w:r>
              <w:rPr>
                <w:sz w:val="18"/>
                <w:szCs w:val="18"/>
              </w:rPr>
              <w:t xml:space="preserve">Subscriptions and lockers. See the status note above.</w:t>
            </w:r>
          </w:p>
        </w:tc>
      </w:tr>
      <w:tr>
        <w:tc>
          <w:tcPr>
            <w:tcW w:type="dxa" w:w="3300"/>
            <w:tcMar>
              <w:top w:type="dxa" w:w="60"/>
              <w:left w:type="dxa" w:w="110"/>
              <w:bottom w:type="dxa" w:w="60"/>
              <w:right w:type="dxa" w:w="110"/>
            </w:tcMar>
          </w:tcPr>
          <w:p>
            <w:r>
              <w:rPr>
                <w:rFonts w:ascii="Consolas" w:cs="Consolas" w:eastAsia="Consolas" w:hAnsi="Consolas"/>
                <w:color w:val="0B4F6C"/>
                <w:sz w:val="17"/>
                <w:szCs w:val="17"/>
              </w:rPr>
              <w:t xml:space="preserve">src/routes/NotBuiltYetScreen.tsx</w:t>
            </w:r>
          </w:p>
        </w:tc>
        <w:tc>
          <w:tcPr>
            <w:tcW w:type="dxa" w:w="7140"/>
            <w:tcMar>
              <w:top w:type="dxa" w:w="60"/>
              <w:left w:type="dxa" w:w="110"/>
              <w:bottom w:type="dxa" w:w="60"/>
              <w:right w:type="dxa" w:w="110"/>
            </w:tcMar>
          </w:tcPr>
          <w:p>
            <w:pPr>
              <w:spacing w:line="240"/>
            </w:pPr>
            <w:r>
              <w:rPr>
                <w:sz w:val="18"/>
                <w:szCs w:val="18"/>
              </w:rPr>
              <w:t xml:space="preserve">An honest placeholder for routes with no backend behind them. Worth copying the idea — it tells the truth rather than showing a spinner that goes nowhere.</w:t>
            </w:r>
          </w:p>
        </w:tc>
      </w:tr>
      <w:tr>
        <w:tc>
          <w:tcPr>
            <w:tcW w:type="dxa" w:w="3300"/>
            <w:tcMar>
              <w:top w:type="dxa" w:w="60"/>
              <w:left w:type="dxa" w:w="110"/>
              <w:bottom w:type="dxa" w:w="60"/>
              <w:right w:type="dxa" w:w="110"/>
            </w:tcMar>
          </w:tcPr>
          <w:p>
            <w:r>
              <w:rPr>
                <w:rFonts w:ascii="Consolas" w:cs="Consolas" w:eastAsia="Consolas" w:hAnsi="Consolas"/>
                <w:color w:val="0B4F6C"/>
                <w:sz w:val="17"/>
                <w:szCs w:val="17"/>
              </w:rPr>
              <w:t xml:space="preserve">src/session.ts, src/config.ts</w:t>
            </w:r>
          </w:p>
        </w:tc>
        <w:tc>
          <w:tcPr>
            <w:tcW w:type="dxa" w:w="7140"/>
            <w:tcMar>
              <w:top w:type="dxa" w:w="60"/>
              <w:left w:type="dxa" w:w="110"/>
              <w:bottom w:type="dxa" w:w="60"/>
              <w:right w:type="dxa" w:w="110"/>
            </w:tcMar>
          </w:tcPr>
          <w:p>
            <w:pPr>
              <w:spacing w:line="240"/>
            </w:pPr>
            <w:r>
              <w:rPr>
                <w:sz w:val="18"/>
                <w:szCs w:val="18"/>
              </w:rPr>
              <w:t xml:space="preserve">Session token handling and the runtime backend configuration.</w:t>
            </w:r>
          </w:p>
        </w:tc>
      </w:tr>
    </w:tbl>
    <w:p>
      <w:pPr>
        <w:pStyle w:val="Heading1"/>
        <w:pBdr>
          <w:bottom w:val="single" w:color="0E6E5C" w:sz="8" w:space="3"/>
        </w:pBdr>
        <w:spacing w:after="100" w:before="320"/>
      </w:pPr>
      <w:r>
        <w:rPr>
          <w:b/>
          <w:bCs/>
          <w:color w:val="1F3A5F"/>
          <w:sz w:val="28"/>
          <w:szCs w:val="28"/>
        </w:rPr>
        <w:t xml:space="preserve">5. The flows</w:t>
      </w:r>
    </w:p>
    <w:p>
      <w:pPr>
        <w:pStyle w:val="Heading2"/>
        <w:spacing w:after="60" w:before="240"/>
      </w:pPr>
      <w:r>
        <w:rPr>
          <w:b/>
          <w:bCs/>
          <w:color w:val="0E6E5C"/>
          <w:sz w:val="23"/>
          <w:szCs w:val="23"/>
        </w:rPr>
        <w:t xml:space="preserve">Flow 1 — Creating an account</w:t>
      </w:r>
    </w:p>
    <w:p>
      <w:pPr>
        <w:spacing w:after="120" w:line="268"/>
      </w:pPr>
      <w:r>
        <w:rPr>
          <w:color w:val="222222"/>
          <w:sz w:val="20"/>
          <w:szCs w:val="20"/>
        </w:rPr>
        <w:t xml:space="preserve">Three genuinely separate entry points, not three steps of one thing: register a new ABHA address by mobile number; create a new ABHA number by Aadhaar; or create an ABHA address for an ABHA number the patient already has. Each is a request-OTP, verify-OTP, then create sequence, and each has its own module.</w:t>
      </w:r>
    </w:p>
    <w:p>
      <w:pPr>
        <w:pStyle w:val="Heading2"/>
        <w:spacing w:after="60" w:before="240"/>
      </w:pPr>
      <w:r>
        <w:rPr>
          <w:b/>
          <w:bCs/>
          <w:color w:val="0E6E5C"/>
          <w:sz w:val="23"/>
          <w:szCs w:val="23"/>
        </w:rPr>
        <w:t xml:space="preserve">Flow 2 — Logging in</w:t>
      </w:r>
    </w:p>
    <w:p>
      <w:pPr>
        <w:spacing w:after="100" w:line="268"/>
        <w:ind w:left="420" w:hanging="420"/>
      </w:pPr>
      <w:r>
        <w:rPr>
          <w:b/>
          <w:bCs/>
          <w:color w:val="0E6E5C"/>
          <w:sz w:val="20"/>
          <w:szCs w:val="20"/>
        </w:rPr>
        <w:t xml:space="preserve">1.  </w:t>
      </w:r>
      <w:r>
        <w:rPr>
          <w:b/>
          <w:bCs/>
          <w:color w:val="1F3A5F"/>
          <w:sz w:val="20"/>
          <w:szCs w:val="20"/>
        </w:rPr>
        <w:t xml:space="preserve">Pick a method</w:t>
      </w:r>
      <w:r>
        <w:rPr>
          <w:color w:val="222222"/>
          <w:sz w:val="20"/>
          <w:szCs w:val="20"/>
        </w:rPr>
        <w:t xml:space="preserve"> — eight in total: password, or an OTP sent via one of seven identifier-and-channel combinations.</w:t>
      </w:r>
    </w:p>
    <w:p>
      <w:pPr>
        <w:spacing w:after="100" w:line="268"/>
        <w:ind w:left="420" w:hanging="420"/>
      </w:pPr>
      <w:r>
        <w:rPr>
          <w:b/>
          <w:bCs/>
          <w:color w:val="0E6E5C"/>
          <w:sz w:val="20"/>
          <w:szCs w:val="20"/>
        </w:rPr>
        <w:t xml:space="preserve">2.  </w:t>
      </w:r>
      <w:r>
        <w:rPr>
          <w:b/>
          <w:bCs/>
          <w:color w:val="1F3A5F"/>
          <w:sz w:val="20"/>
          <w:szCs w:val="20"/>
        </w:rPr>
        <w:t xml:space="preserve">Request and verify the OTP</w:t>
      </w:r>
      <w:r>
        <w:rPr>
          <w:color w:val="222222"/>
          <w:sz w:val="20"/>
          <w:szCs w:val="20"/>
        </w:rPr>
        <w:t xml:space="preserve"> — the identifier and the OTP value are both RSA-encrypted here in the backend before being sent — the UI passes them in plaintext because the encryption needs the certificate the backend holds.</w:t>
      </w:r>
    </w:p>
    <w:p>
      <w:pPr>
        <w:spacing w:after="100" w:line="268"/>
        <w:ind w:left="420" w:hanging="420"/>
      </w:pPr>
      <w:r>
        <w:rPr>
          <w:b/>
          <w:bCs/>
          <w:color w:val="0E6E5C"/>
          <w:sz w:val="20"/>
          <w:szCs w:val="20"/>
        </w:rPr>
        <w:t xml:space="preserve">3.  </w:t>
      </w:r>
      <w:r>
        <w:rPr>
          <w:b/>
          <w:bCs/>
          <w:color w:val="1F3A5F"/>
          <w:sz w:val="20"/>
          <w:szCs w:val="20"/>
        </w:rPr>
        <w:t xml:space="preserve">Select an account if there are several</w:t>
      </w:r>
      <w:r>
        <w:rPr>
          <w:color w:val="222222"/>
          <w:sz w:val="20"/>
          <w:szCs w:val="20"/>
        </w:rPr>
        <w:t xml:space="preserve"> — one mobile number can carry several ABHA addresses; the verify step returns a temporary token and the list, and a final call picks one and issues the real session token.</w:t>
      </w:r>
    </w:p>
    <w:p>
      <w:pPr>
        <w:pStyle w:val="Heading2"/>
        <w:spacing w:after="60" w:before="240"/>
      </w:pPr>
      <w:r>
        <w:rPr>
          <w:b/>
          <w:bCs/>
          <w:color w:val="0E6E5C"/>
          <w:sz w:val="23"/>
          <w:szCs w:val="23"/>
        </w:rPr>
        <w:t xml:space="preserve">Flow 3 — Seeing linked records</w:t>
      </w:r>
    </w:p>
    <w:p>
      <w:pPr>
        <w:spacing w:after="120" w:line="268"/>
      </w:pPr>
      <w:r>
        <w:rPr>
          <w:color w:val="222222"/>
          <w:sz w:val="20"/>
          <w:szCs w:val="20"/>
        </w:rPr>
        <w:t xml:space="preserve">A single call returns every care context already linked to the patient's ABHA, grouped by facility. This works regardless of who performed the link — a facility, another app, or this one. Linking is pure metadata and never implies anyone can read anything.</w:t>
      </w:r>
    </w:p>
    <w:p>
      <w:pPr>
        <w:pStyle w:val="Heading2"/>
        <w:spacing w:after="60" w:before="240"/>
      </w:pPr>
      <w:r>
        <w:rPr>
          <w:b/>
          <w:bCs/>
          <w:color w:val="0E6E5C"/>
          <w:sz w:val="23"/>
          <w:szCs w:val="23"/>
        </w:rPr>
        <w:t xml:space="preserve">Flow 4 — Managing consent</w:t>
      </w:r>
    </w:p>
    <w:p>
      <w:pPr>
        <w:spacing w:after="120" w:line="268"/>
      </w:pPr>
      <w:r>
        <w:rPr>
          <w:color w:val="222222"/>
          <w:sz w:val="20"/>
          <w:szCs w:val="20"/>
        </w:rPr>
        <w:t xml:space="preserve">The inbox lists consent requests from anyone who wants to read the patient's records. From there the patient can open a request, approve it (choosing which facilities, which data types and what date range), deny it, or revoke a consent already granted. Approve and deny are direct calls answered immediately; there is no callback anywhere in this flow, which is why it was simpler to build than everything around it.</w:t>
      </w:r>
    </w:p>
    <w:p>
      <w:pPr>
        <w:pStyle w:val="Heading2"/>
        <w:spacing w:after="60" w:before="240"/>
      </w:pPr>
      <w:r>
        <w:rPr>
          <w:b/>
          <w:bCs/>
          <w:color w:val="0E6E5C"/>
          <w:sz w:val="23"/>
          <w:szCs w:val="23"/>
        </w:rPr>
        <w:t xml:space="preserve">Flow 5 — Reading your own records</w:t>
      </w:r>
    </w:p>
    <w:p>
      <w:pPr>
        <w:spacing w:after="120" w:line="268"/>
      </w:pPr>
      <w:r>
        <w:rPr>
          <w:color w:val="222222"/>
          <w:sz w:val="20"/>
          <w:szCs w:val="20"/>
        </w:rPr>
        <w:t xml:space="preserve">This is the app's central feature and the hardest thing in the repository. The problem it solves: ABDM's data-flow endpoints only talk to a registered HIU, and a patient's app is not one. The solution is that this app calls the ABDM backend's existing HIU code directly, in-process — which is possible precisely because the two are mounted together.</w:t>
      </w:r>
    </w:p>
    <w:p>
      <w:pPr>
        <w:spacing w:after="100" w:line="268"/>
        <w:ind w:left="420" w:hanging="420"/>
      </w:pPr>
      <w:r>
        <w:rPr>
          <w:b/>
          <w:bCs/>
          <w:color w:val="0E6E5C"/>
          <w:sz w:val="20"/>
          <w:szCs w:val="20"/>
        </w:rPr>
        <w:t xml:space="preserve">1.  </w:t>
      </w:r>
      <w:r>
        <w:rPr>
          <w:b/>
          <w:bCs/>
          <w:color w:val="1F3A5F"/>
          <w:sz w:val="20"/>
          <w:szCs w:val="20"/>
        </w:rPr>
        <w:t xml:space="preserve">Set up auto-approval once per patient</w:t>
      </w:r>
      <w:r>
        <w:rPr>
          <w:color w:val="222222"/>
          <w:sz w:val="20"/>
          <w:szCs w:val="20"/>
        </w:rPr>
        <w:t xml:space="preserve"> — a consent PIN is set and verified, then a standing pre-approval policy is registered so the patient is not asked to approve their own request every time.</w:t>
      </w:r>
    </w:p>
    <w:p>
      <w:pPr>
        <w:spacing w:after="100" w:line="268"/>
        <w:ind w:left="420" w:hanging="420"/>
      </w:pPr>
      <w:r>
        <w:rPr>
          <w:b/>
          <w:bCs/>
          <w:color w:val="0E6E5C"/>
          <w:sz w:val="20"/>
          <w:szCs w:val="20"/>
        </w:rPr>
        <w:t xml:space="preserve">2.  </w:t>
      </w:r>
      <w:r>
        <w:rPr>
          <w:b/>
          <w:bCs/>
          <w:color w:val="1F3A5F"/>
          <w:sz w:val="20"/>
          <w:szCs w:val="20"/>
        </w:rPr>
        <w:t xml:space="preserve">Raise the app's own self-view consent</w:t>
      </w:r>
      <w:r>
        <w:rPr>
          <w:color w:val="222222"/>
          <w:sz w:val="20"/>
          <w:szCs w:val="20"/>
        </w:rPr>
        <w:t xml:space="preserve"> — tagged with the purpose code for a self-request, so it can never be confused with a doctor's consent for the same facility. This is a real consent request like any other.</w:t>
      </w:r>
    </w:p>
    <w:p>
      <w:pPr>
        <w:spacing w:after="100" w:line="268"/>
        <w:ind w:left="420" w:hanging="420"/>
      </w:pPr>
      <w:r>
        <w:rPr>
          <w:b/>
          <w:bCs/>
          <w:color w:val="0E6E5C"/>
          <w:sz w:val="20"/>
          <w:szCs w:val="20"/>
        </w:rPr>
        <w:t xml:space="preserve">3.  </w:t>
      </w:r>
      <w:r>
        <w:rPr>
          <w:b/>
          <w:bCs/>
          <w:color w:val="1F3A5F"/>
          <w:sz w:val="20"/>
          <w:szCs w:val="20"/>
        </w:rPr>
        <w:t xml:space="preserve">Wait for it to be granted</w:t>
      </w:r>
      <w:r>
        <w:rPr>
          <w:color w:val="222222"/>
          <w:sz w:val="20"/>
          <w:szCs w:val="20"/>
        </w:rPr>
        <w:t xml:space="preserve"> — the app polls. If the policy worked it grants automatically; if not, it simply appears in the consent inbox as a normal pending request the patient can approve by hand.</w:t>
      </w:r>
    </w:p>
    <w:p>
      <w:pPr>
        <w:spacing w:after="100" w:line="268"/>
        <w:ind w:left="420" w:hanging="420"/>
      </w:pPr>
      <w:r>
        <w:rPr>
          <w:b/>
          <w:bCs/>
          <w:color w:val="0E6E5C"/>
          <w:sz w:val="20"/>
          <w:szCs w:val="20"/>
        </w:rPr>
        <w:t xml:space="preserve">4.  </w:t>
      </w:r>
      <w:r>
        <w:rPr>
          <w:b/>
          <w:bCs/>
          <w:color w:val="1F3A5F"/>
          <w:sz w:val="20"/>
          <w:szCs w:val="20"/>
        </w:rPr>
        <w:t xml:space="preserve">Fetch the data</w:t>
      </w:r>
      <w:r>
        <w:rPr>
          <w:color w:val="222222"/>
          <w:sz w:val="20"/>
          <w:szCs w:val="20"/>
        </w:rPr>
        <w:t xml:space="preserve"> — the request goes out through the backend's HIU code, the facility pushes encrypted records back, and they are decrypted there.</w:t>
      </w:r>
    </w:p>
    <w:p>
      <w:pPr>
        <w:spacing w:after="100" w:line="268"/>
        <w:ind w:left="420" w:hanging="420"/>
      </w:pPr>
      <w:r>
        <w:rPr>
          <w:b/>
          <w:bCs/>
          <w:color w:val="0E6E5C"/>
          <w:sz w:val="20"/>
          <w:szCs w:val="20"/>
        </w:rPr>
        <w:t xml:space="preserve">5.  </w:t>
      </w:r>
      <w:r>
        <w:rPr>
          <w:b/>
          <w:bCs/>
          <w:color w:val="1F3A5F"/>
          <w:sz w:val="20"/>
          <w:szCs w:val="20"/>
        </w:rPr>
        <w:t xml:space="preserve">Render it</w:t>
      </w:r>
      <w:r>
        <w:rPr>
          <w:color w:val="222222"/>
          <w:sz w:val="20"/>
          <w:szCs w:val="20"/>
        </w:rPr>
        <w:t xml:space="preserve"> — the UI drills down from facility, to record, to the decrypted content, turning a raw FHIR bundle into readable text.</w:t>
      </w:r>
    </w:p>
    <w:p>
      <w:pPr>
        <w:pBdr>
          <w:left w:val="single" w:color="9A6700" w:sz="12" w:space="8"/>
        </w:pBdr>
        <w:spacing w:after="160" w:before="60" w:line="268"/>
        <w:ind w:left="220"/>
      </w:pPr>
      <w:r>
        <w:rPr>
          <w:b/>
          <w:bCs/>
          <w:color w:val="9A6700"/>
          <w:sz w:val="17"/>
          <w:szCs w:val="17"/>
        </w:rPr>
        <w:t xml:space="preserve">HEADS UP  </w:t>
      </w:r>
      <w:r>
        <w:rPr>
          <w:color w:val="333333"/>
          <w:sz w:val="19"/>
          <w:szCs w:val="19"/>
        </w:rPr>
        <w:t xml:space="preserve">One safety property is worth understanding before touching this: a consent is only usable here if this project's own registration raised and fetched it. A consent that exists and shows as granted in some other app is structurally invisible to this code — by design. If a record fails to pull with a "no local record of consent" message, that is the protection working, not a bug.</w:t>
      </w:r>
    </w:p>
    <w:p>
      <w:pPr>
        <w:pStyle w:val="Heading2"/>
        <w:spacing w:after="60" w:before="240"/>
      </w:pPr>
      <w:r>
        <w:rPr>
          <w:b/>
          <w:bCs/>
          <w:color w:val="0E6E5C"/>
          <w:sz w:val="23"/>
          <w:szCs w:val="23"/>
        </w:rPr>
        <w:t xml:space="preserve">Flow 6 — Finding and linking a new provider</w:t>
      </w:r>
    </w:p>
    <w:p>
      <w:pPr>
        <w:spacing w:after="100" w:line="268"/>
        <w:ind w:left="420" w:hanging="420"/>
      </w:pPr>
      <w:r>
        <w:rPr>
          <w:b/>
          <w:bCs/>
          <w:color w:val="0E6E5C"/>
          <w:sz w:val="20"/>
          <w:szCs w:val="20"/>
        </w:rPr>
        <w:t xml:space="preserve">1.  </w:t>
      </w:r>
      <w:r>
        <w:rPr>
          <w:b/>
          <w:bCs/>
          <w:color w:val="1F3A5F"/>
          <w:sz w:val="20"/>
          <w:szCs w:val="20"/>
        </w:rPr>
        <w:t xml:space="preserve">Search the directory</w:t>
      </w:r>
      <w:r>
        <w:rPr>
          <w:color w:val="222222"/>
          <w:sz w:val="20"/>
          <w:szCs w:val="20"/>
        </w:rPr>
        <w:t xml:space="preserve"> — by state, district or name, or look a facility up by ID.</w:t>
      </w:r>
    </w:p>
    <w:p>
      <w:pPr>
        <w:spacing w:after="100" w:line="268"/>
        <w:ind w:left="420" w:hanging="420"/>
      </w:pPr>
      <w:r>
        <w:rPr>
          <w:b/>
          <w:bCs/>
          <w:color w:val="0E6E5C"/>
          <w:sz w:val="20"/>
          <w:szCs w:val="20"/>
        </w:rPr>
        <w:t xml:space="preserve">2.  </w:t>
      </w:r>
      <w:r>
        <w:rPr>
          <w:b/>
          <w:bCs/>
          <w:color w:val="1F3A5F"/>
          <w:sz w:val="20"/>
          <w:szCs w:val="20"/>
        </w:rPr>
        <w:t xml:space="preserve">Discover</w:t>
      </w:r>
      <w:r>
        <w:rPr>
          <w:color w:val="222222"/>
          <w:sz w:val="20"/>
          <w:szCs w:val="20"/>
        </w:rPr>
        <w:t xml:space="preserve"> — ask that facility whether it holds records for this patient. The answer arrives later, as a callback.</w:t>
      </w:r>
    </w:p>
    <w:p>
      <w:pPr>
        <w:spacing w:after="100" w:line="268"/>
        <w:ind w:left="420" w:hanging="420"/>
      </w:pPr>
      <w:r>
        <w:rPr>
          <w:b/>
          <w:bCs/>
          <w:color w:val="0E6E5C"/>
          <w:sz w:val="20"/>
          <w:szCs w:val="20"/>
        </w:rPr>
        <w:t xml:space="preserve">3.  </w:t>
      </w:r>
      <w:r>
        <w:rPr>
          <w:b/>
          <w:bCs/>
          <w:color w:val="1F3A5F"/>
          <w:sz w:val="20"/>
          <w:szCs w:val="20"/>
        </w:rPr>
        <w:t xml:space="preserve">Link-init</w:t>
      </w:r>
      <w:r>
        <w:rPr>
          <w:color w:val="222222"/>
          <w:sz w:val="20"/>
          <w:szCs w:val="20"/>
        </w:rPr>
        <w:t xml:space="preserve"> — the patient chooses what to link; ABDM sends an OTP to their registered mobile.</w:t>
      </w:r>
    </w:p>
    <w:p>
      <w:pPr>
        <w:spacing w:after="100" w:line="268"/>
        <w:ind w:left="420" w:hanging="420"/>
      </w:pPr>
      <w:r>
        <w:rPr>
          <w:b/>
          <w:bCs/>
          <w:color w:val="0E6E5C"/>
          <w:sz w:val="20"/>
          <w:szCs w:val="20"/>
        </w:rPr>
        <w:t xml:space="preserve">4.  </w:t>
      </w:r>
      <w:r>
        <w:rPr>
          <w:b/>
          <w:bCs/>
          <w:color w:val="1F3A5F"/>
          <w:sz w:val="20"/>
          <w:szCs w:val="20"/>
        </w:rPr>
        <w:t xml:space="preserve">Link-confirm</w:t>
      </w:r>
      <w:r>
        <w:rPr>
          <w:color w:val="222222"/>
          <w:sz w:val="20"/>
          <w:szCs w:val="20"/>
        </w:rPr>
        <w:t xml:space="preserve"> — the patient enters the OTP and the care contexts attach to their ABHA. Once linked, they appear in Flow 3 and become eligible for Flow 5.</w:t>
      </w:r>
    </w:p>
    <w:p>
      <w:pPr>
        <w:pBdr>
          <w:left w:val="single" w:color="9A6700" w:sz="12" w:space="8"/>
        </w:pBdr>
        <w:spacing w:after="160" w:before="60" w:line="268"/>
        <w:ind w:left="220"/>
      </w:pPr>
      <w:r>
        <w:rPr>
          <w:b/>
          <w:bCs/>
          <w:color w:val="9A6700"/>
          <w:sz w:val="17"/>
          <w:szCs w:val="17"/>
        </w:rPr>
        <w:t xml:space="preserve">HEADS UP  </w:t>
      </w:r>
      <w:r>
        <w:rPr>
          <w:color w:val="333333"/>
          <w:sz w:val="19"/>
          <w:szCs w:val="19"/>
        </w:rPr>
        <w:t xml:space="preserve">Steps 2 to 4 are fully built and wired, but have never completed successfully — see section 4.4. The provider directory itself (step 1) does work.</w:t>
      </w:r>
    </w:p>
    <w:p>
      <w:pPr>
        <w:pStyle w:val="Heading2"/>
        <w:spacing w:after="60" w:before="240"/>
      </w:pPr>
      <w:r>
        <w:rPr>
          <w:b/>
          <w:bCs/>
          <w:color w:val="0E6E5C"/>
          <w:sz w:val="23"/>
          <w:szCs w:val="23"/>
        </w:rPr>
        <w:t xml:space="preserve">Flow 7 — Subscriptions and Health Locker</w:t>
      </w:r>
    </w:p>
    <w:p>
      <w:pPr>
        <w:spacing w:after="120" w:line="268"/>
      </w:pPr>
      <w:r>
        <w:rPr>
          <w:color w:val="222222"/>
          <w:sz w:val="20"/>
          <w:szCs w:val="20"/>
        </w:rPr>
        <w:t xml:space="preserve">The intended behaviour: instead of raising a fresh consent every time something new appears, the app subscribes to the patient's data stream and is notified whenever a new record is linked or added, then pulls it automatically.</w:t>
      </w:r>
    </w:p>
    <w:p>
      <w:pPr>
        <w:pBdr>
          <w:left w:val="single" w:color="9B2226" w:sz="12" w:space="8"/>
        </w:pBdr>
        <w:spacing w:after="160" w:before="60" w:line="268"/>
        <w:ind w:left="220"/>
      </w:pPr>
      <w:r>
        <w:rPr>
          <w:b/>
          <w:bCs/>
          <w:color w:val="9B2226"/>
          <w:sz w:val="17"/>
          <w:szCs w:val="17"/>
        </w:rPr>
        <w:t xml:space="preserve">NOT WORKING YET  </w:t>
      </w:r>
      <w:r>
        <w:rPr>
          <w:color w:val="333333"/>
          <w:sz w:val="19"/>
          <w:szCs w:val="19"/>
        </w:rPr>
        <w:t xml:space="preserve">Not working. The code exists for all of it, but nothing in this area has ever completed against the sandbox, and the cause is believed to be a missing registration on ABDM's side rather than anything in this code. Read section 4.5 before spending any time here.</w:t>
      </w:r>
    </w:p>
    <w:p>
      <w:pPr>
        <w:pStyle w:val="Heading2"/>
        <w:spacing w:after="60" w:before="240"/>
      </w:pPr>
      <w:r>
        <w:rPr>
          <w:b/>
          <w:bCs/>
          <w:color w:val="0E6E5C"/>
          <w:sz w:val="23"/>
          <w:szCs w:val="23"/>
        </w:rPr>
        <w:t xml:space="preserve">Flow 8 — Scan and Share</w:t>
      </w:r>
    </w:p>
    <w:p>
      <w:pPr>
        <w:spacing w:after="120" w:line="268"/>
      </w:pPr>
      <w:r>
        <w:rPr>
          <w:color w:val="222222"/>
          <w:sz w:val="20"/>
          <w:szCs w:val="20"/>
        </w:rPr>
        <w:t xml:space="preserve">Not built. The inbound callback path is registered and archives whatever arrives, but there is no outbound flow and no screen behind it.</w:t>
      </w:r>
    </w:p>
    <w:p>
      <w:pPr>
        <w:pStyle w:val="Heading1"/>
        <w:pBdr>
          <w:bottom w:val="single" w:color="0E6E5C" w:sz="8" w:space="3"/>
        </w:pBdr>
        <w:spacing w:after="100" w:before="320"/>
      </w:pPr>
      <w:r>
        <w:rPr>
          <w:b/>
          <w:bCs/>
          <w:color w:val="1F3A5F"/>
          <w:sz w:val="28"/>
          <w:szCs w:val="28"/>
        </w:rPr>
        <w:t xml:space="preserve">6. Status at a glance</w:t>
      </w:r>
    </w:p>
    <w:p>
      <w:pPr>
        <w:spacing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000"/>
        <w:gridCol w:w="5440"/>
      </w:tblGrid>
      <w:tr>
        <w:trPr>
          <w:tblHeader/>
        </w:trPr>
        <w:tc>
          <w:tcPr>
            <w:tcW w:type="dxa" w:w="3000"/>
            <w:shd w:fill="F2F5F7" w:color="auto" w:val="clear"/>
            <w:tcMar>
              <w:top w:type="dxa" w:w="60"/>
              <w:left w:type="dxa" w:w="110"/>
              <w:bottom w:type="dxa" w:w="60"/>
              <w:right w:type="dxa" w:w="110"/>
            </w:tcMar>
          </w:tcPr>
          <w:p>
            <w:r>
              <w:rPr>
                <w:b/>
                <w:bCs/>
                <w:color w:val="1F3A5F"/>
                <w:sz w:val="18"/>
                <w:szCs w:val="18"/>
              </w:rPr>
              <w:t xml:space="preserve">Area</w:t>
            </w:r>
          </w:p>
        </w:tc>
        <w:tc>
          <w:tcPr>
            <w:tcW w:type="dxa" w:w="2000"/>
            <w:shd w:fill="F2F5F7" w:color="auto" w:val="clear"/>
            <w:tcMar>
              <w:top w:type="dxa" w:w="60"/>
              <w:left w:type="dxa" w:w="110"/>
              <w:bottom w:type="dxa" w:w="60"/>
              <w:right w:type="dxa" w:w="110"/>
            </w:tcMar>
          </w:tcPr>
          <w:p>
            <w:r>
              <w:rPr>
                <w:b/>
                <w:bCs/>
                <w:color w:val="1F3A5F"/>
                <w:sz w:val="18"/>
                <w:szCs w:val="18"/>
              </w:rPr>
              <w:t xml:space="preserve">Status</w:t>
            </w:r>
          </w:p>
        </w:tc>
        <w:tc>
          <w:tcPr>
            <w:tcW w:type="dxa" w:w="5440"/>
            <w:shd w:fill="F2F5F7" w:color="auto" w:val="clear"/>
            <w:tcMar>
              <w:top w:type="dxa" w:w="60"/>
              <w:left w:type="dxa" w:w="110"/>
              <w:bottom w:type="dxa" w:w="60"/>
              <w:right w:type="dxa" w:w="110"/>
            </w:tcMar>
          </w:tcPr>
          <w:p>
            <w:r>
              <w:rPr>
                <w:b/>
                <w:bCs/>
                <w:color w:val="1F3A5F"/>
                <w:sz w:val="18"/>
                <w:szCs w:val="18"/>
              </w:rPr>
              <w:t xml:space="preserve">What that means</w:t>
            </w:r>
          </w:p>
        </w:tc>
      </w:tr>
      <w:tr>
        <w:tc>
          <w:tcPr>
            <w:tcW w:type="dxa" w:w="3000"/>
            <w:tcMar>
              <w:top w:type="dxa" w:w="60"/>
              <w:left w:type="dxa" w:w="110"/>
              <w:bottom w:type="dxa" w:w="60"/>
              <w:right w:type="dxa" w:w="110"/>
            </w:tcMar>
          </w:tcPr>
          <w:p>
            <w:r>
              <w:rPr>
                <w:b/>
                <w:bCs/>
                <w:color w:val="222222"/>
                <w:sz w:val="18"/>
                <w:szCs w:val="18"/>
              </w:rPr>
              <w:t xml:space="preserve">Account creation</w:t>
            </w:r>
          </w:p>
        </w:tc>
        <w:tc>
          <w:tcPr>
            <w:tcW w:type="dxa" w:w="2000"/>
            <w:tcMar>
              <w:top w:type="dxa" w:w="60"/>
              <w:left w:type="dxa" w:w="110"/>
              <w:bottom w:type="dxa" w:w="60"/>
              <w:right w:type="dxa" w:w="110"/>
            </w:tcMar>
          </w:tcPr>
          <w:p>
            <w:r>
              <w:rPr>
                <w:b/>
                <w:bCs/>
                <w:color w:val="0E6E5C"/>
                <w:sz w:val="18"/>
                <w:szCs w:val="18"/>
              </w:rPr>
              <w:t xml:space="preserve">Working</w:t>
            </w:r>
          </w:p>
        </w:tc>
        <w:tc>
          <w:tcPr>
            <w:tcW w:type="dxa" w:w="5440"/>
            <w:tcMar>
              <w:top w:type="dxa" w:w="60"/>
              <w:left w:type="dxa" w:w="110"/>
              <w:bottom w:type="dxa" w:w="60"/>
              <w:right w:type="dxa" w:w="110"/>
            </w:tcMar>
          </w:tcPr>
          <w:p>
            <w:pPr>
              <w:spacing w:line="240"/>
            </w:pPr>
            <w:r>
              <w:rPr>
                <w:sz w:val="18"/>
                <w:szCs w:val="18"/>
              </w:rPr>
              <w:t xml:space="preserve">All three entry points built and exercised live.</w:t>
            </w:r>
          </w:p>
        </w:tc>
      </w:tr>
      <w:tr>
        <w:tc>
          <w:tcPr>
            <w:tcW w:type="dxa" w:w="3000"/>
            <w:tcMar>
              <w:top w:type="dxa" w:w="60"/>
              <w:left w:type="dxa" w:w="110"/>
              <w:bottom w:type="dxa" w:w="60"/>
              <w:right w:type="dxa" w:w="110"/>
            </w:tcMar>
          </w:tcPr>
          <w:p>
            <w:r>
              <w:rPr>
                <w:b/>
                <w:bCs/>
                <w:color w:val="222222"/>
                <w:sz w:val="18"/>
                <w:szCs w:val="18"/>
              </w:rPr>
              <w:t xml:space="preserve">Login and profile</w:t>
            </w:r>
          </w:p>
        </w:tc>
        <w:tc>
          <w:tcPr>
            <w:tcW w:type="dxa" w:w="2000"/>
            <w:tcMar>
              <w:top w:type="dxa" w:w="60"/>
              <w:left w:type="dxa" w:w="110"/>
              <w:bottom w:type="dxa" w:w="60"/>
              <w:right w:type="dxa" w:w="110"/>
            </w:tcMar>
          </w:tcPr>
          <w:p>
            <w:r>
              <w:rPr>
                <w:b/>
                <w:bCs/>
                <w:color w:val="0E6E5C"/>
                <w:sz w:val="18"/>
                <w:szCs w:val="18"/>
              </w:rPr>
              <w:t xml:space="preserve">Working</w:t>
            </w:r>
          </w:p>
        </w:tc>
        <w:tc>
          <w:tcPr>
            <w:tcW w:type="dxa" w:w="5440"/>
            <w:tcMar>
              <w:top w:type="dxa" w:w="60"/>
              <w:left w:type="dxa" w:w="110"/>
              <w:bottom w:type="dxa" w:w="60"/>
              <w:right w:type="dxa" w:w="110"/>
            </w:tcMar>
          </w:tcPr>
          <w:p>
            <w:pPr>
              <w:spacing w:line="240"/>
            </w:pPr>
            <w:r>
              <w:rPr>
                <w:sz w:val="18"/>
                <w:szCs w:val="18"/>
              </w:rPr>
              <w:t xml:space="preserve">All eight login methods plus the full profile section, confirmed live.</w:t>
            </w:r>
          </w:p>
        </w:tc>
      </w:tr>
      <w:tr>
        <w:tc>
          <w:tcPr>
            <w:tcW w:type="dxa" w:w="3000"/>
            <w:tcMar>
              <w:top w:type="dxa" w:w="60"/>
              <w:left w:type="dxa" w:w="110"/>
              <w:bottom w:type="dxa" w:w="60"/>
              <w:right w:type="dxa" w:w="110"/>
            </w:tcMar>
          </w:tcPr>
          <w:p>
            <w:r>
              <w:rPr>
                <w:b/>
                <w:bCs/>
                <w:color w:val="222222"/>
                <w:sz w:val="18"/>
                <w:szCs w:val="18"/>
              </w:rPr>
              <w:t xml:space="preserve">Linked records</w:t>
            </w:r>
          </w:p>
        </w:tc>
        <w:tc>
          <w:tcPr>
            <w:tcW w:type="dxa" w:w="2000"/>
            <w:tcMar>
              <w:top w:type="dxa" w:w="60"/>
              <w:left w:type="dxa" w:w="110"/>
              <w:bottom w:type="dxa" w:w="60"/>
              <w:right w:type="dxa" w:w="110"/>
            </w:tcMar>
          </w:tcPr>
          <w:p>
            <w:r>
              <w:rPr>
                <w:b/>
                <w:bCs/>
                <w:color w:val="0E6E5C"/>
                <w:sz w:val="18"/>
                <w:szCs w:val="18"/>
              </w:rPr>
              <w:t xml:space="preserve">Working</w:t>
            </w:r>
          </w:p>
        </w:tc>
        <w:tc>
          <w:tcPr>
            <w:tcW w:type="dxa" w:w="5440"/>
            <w:tcMar>
              <w:top w:type="dxa" w:w="60"/>
              <w:left w:type="dxa" w:w="110"/>
              <w:bottom w:type="dxa" w:w="60"/>
              <w:right w:type="dxa" w:w="110"/>
            </w:tcMar>
          </w:tcPr>
          <w:p>
            <w:pPr>
              <w:spacing w:line="240"/>
            </w:pPr>
            <w:r>
              <w:rPr>
                <w:sz w:val="18"/>
                <w:szCs w:val="18"/>
              </w:rPr>
              <w:t xml:space="preserve">Confirmed live.</w:t>
            </w:r>
          </w:p>
        </w:tc>
      </w:tr>
      <w:tr>
        <w:tc>
          <w:tcPr>
            <w:tcW w:type="dxa" w:w="3000"/>
            <w:tcMar>
              <w:top w:type="dxa" w:w="60"/>
              <w:left w:type="dxa" w:w="110"/>
              <w:bottom w:type="dxa" w:w="60"/>
              <w:right w:type="dxa" w:w="110"/>
            </w:tcMar>
          </w:tcPr>
          <w:p>
            <w:r>
              <w:rPr>
                <w:b/>
                <w:bCs/>
                <w:color w:val="222222"/>
                <w:sz w:val="18"/>
                <w:szCs w:val="18"/>
              </w:rPr>
              <w:t xml:space="preserve">Consent Manager</w:t>
            </w:r>
          </w:p>
        </w:tc>
        <w:tc>
          <w:tcPr>
            <w:tcW w:type="dxa" w:w="2000"/>
            <w:tcMar>
              <w:top w:type="dxa" w:w="60"/>
              <w:left w:type="dxa" w:w="110"/>
              <w:bottom w:type="dxa" w:w="60"/>
              <w:right w:type="dxa" w:w="110"/>
            </w:tcMar>
          </w:tcPr>
          <w:p>
            <w:r>
              <w:rPr>
                <w:b/>
                <w:bCs/>
                <w:color w:val="0E6E5C"/>
                <w:sz w:val="18"/>
                <w:szCs w:val="18"/>
              </w:rPr>
              <w:t xml:space="preserve">Working</w:t>
            </w:r>
          </w:p>
        </w:tc>
        <w:tc>
          <w:tcPr>
            <w:tcW w:type="dxa" w:w="5440"/>
            <w:tcMar>
              <w:top w:type="dxa" w:w="60"/>
              <w:left w:type="dxa" w:w="110"/>
              <w:bottom w:type="dxa" w:w="60"/>
              <w:right w:type="dxa" w:w="110"/>
            </w:tcMar>
          </w:tcPr>
          <w:p>
            <w:pPr>
              <w:spacing w:line="240"/>
            </w:pPr>
            <w:r>
              <w:rPr>
                <w:sz w:val="18"/>
                <w:szCs w:val="18"/>
              </w:rPr>
              <w:t xml:space="preserve">Eleven flows; approve, deny and revoke all confirmed live.</w:t>
            </w:r>
          </w:p>
        </w:tc>
      </w:tr>
      <w:tr>
        <w:tc>
          <w:tcPr>
            <w:tcW w:type="dxa" w:w="3000"/>
            <w:tcMar>
              <w:top w:type="dxa" w:w="60"/>
              <w:left w:type="dxa" w:w="110"/>
              <w:bottom w:type="dxa" w:w="60"/>
              <w:right w:type="dxa" w:w="110"/>
            </w:tcMar>
          </w:tcPr>
          <w:p>
            <w:r>
              <w:rPr>
                <w:b/>
                <w:bCs/>
                <w:color w:val="222222"/>
                <w:sz w:val="18"/>
                <w:szCs w:val="18"/>
              </w:rPr>
              <w:t xml:space="preserve">Reading own records</w:t>
            </w:r>
          </w:p>
        </w:tc>
        <w:tc>
          <w:tcPr>
            <w:tcW w:type="dxa" w:w="2000"/>
            <w:tcMar>
              <w:top w:type="dxa" w:w="60"/>
              <w:left w:type="dxa" w:w="110"/>
              <w:bottom w:type="dxa" w:w="60"/>
              <w:right w:type="dxa" w:w="110"/>
            </w:tcMar>
          </w:tcPr>
          <w:p>
            <w:r>
              <w:rPr>
                <w:b/>
                <w:bCs/>
                <w:color w:val="0E6E5C"/>
                <w:sz w:val="18"/>
                <w:szCs w:val="18"/>
              </w:rPr>
              <w:t xml:space="preserve">Working</w:t>
            </w:r>
          </w:p>
        </w:tc>
        <w:tc>
          <w:tcPr>
            <w:tcW w:type="dxa" w:w="5440"/>
            <w:tcMar>
              <w:top w:type="dxa" w:w="60"/>
              <w:left w:type="dxa" w:w="110"/>
              <w:bottom w:type="dxa" w:w="60"/>
              <w:right w:type="dxa" w:w="110"/>
            </w:tcMar>
          </w:tcPr>
          <w:p>
            <w:pPr>
              <w:spacing w:line="240"/>
            </w:pPr>
            <w:r>
              <w:rPr>
                <w:sz w:val="18"/>
                <w:szCs w:val="18"/>
              </w:rPr>
              <w:t xml:space="preserve">Confirmed by the project owner on 3 September after several rounds of correction. The detailed evidence lives in the database archive rather than the text logs.</w:t>
            </w:r>
          </w:p>
        </w:tc>
      </w:tr>
      <w:tr>
        <w:tc>
          <w:tcPr>
            <w:tcW w:type="dxa" w:w="3000"/>
            <w:tcMar>
              <w:top w:type="dxa" w:w="60"/>
              <w:left w:type="dxa" w:w="110"/>
              <w:bottom w:type="dxa" w:w="60"/>
              <w:right w:type="dxa" w:w="110"/>
            </w:tcMar>
          </w:tcPr>
          <w:p>
            <w:r>
              <w:rPr>
                <w:b/>
                <w:bCs/>
                <w:color w:val="222222"/>
                <w:sz w:val="18"/>
                <w:szCs w:val="18"/>
              </w:rPr>
              <w:t xml:space="preserve">Provider directory</w:t>
            </w:r>
          </w:p>
        </w:tc>
        <w:tc>
          <w:tcPr>
            <w:tcW w:type="dxa" w:w="2000"/>
            <w:tcMar>
              <w:top w:type="dxa" w:w="60"/>
              <w:left w:type="dxa" w:w="110"/>
              <w:bottom w:type="dxa" w:w="60"/>
              <w:right w:type="dxa" w:w="110"/>
            </w:tcMar>
          </w:tcPr>
          <w:p>
            <w:r>
              <w:rPr>
                <w:b/>
                <w:bCs/>
                <w:color w:val="0E6E5C"/>
                <w:sz w:val="18"/>
                <w:szCs w:val="18"/>
              </w:rPr>
              <w:t xml:space="preserve">Working</w:t>
            </w:r>
          </w:p>
        </w:tc>
        <w:tc>
          <w:tcPr>
            <w:tcW w:type="dxa" w:w="5440"/>
            <w:tcMar>
              <w:top w:type="dxa" w:w="60"/>
              <w:left w:type="dxa" w:w="110"/>
              <w:bottom w:type="dxa" w:w="60"/>
              <w:right w:type="dxa" w:w="110"/>
            </w:tcMar>
          </w:tcPr>
          <w:p>
            <w:pPr>
              <w:spacing w:line="240"/>
            </w:pPr>
            <w:r>
              <w:rPr>
                <w:sz w:val="18"/>
                <w:szCs w:val="18"/>
              </w:rPr>
              <w:t xml:space="preserve">Three read-only lookups, confirmed live.</w:t>
            </w:r>
          </w:p>
        </w:tc>
      </w:tr>
      <w:tr>
        <w:tc>
          <w:tcPr>
            <w:tcW w:type="dxa" w:w="3000"/>
            <w:tcMar>
              <w:top w:type="dxa" w:w="60"/>
              <w:left w:type="dxa" w:w="110"/>
              <w:bottom w:type="dxa" w:w="60"/>
              <w:right w:type="dxa" w:w="110"/>
            </w:tcMar>
          </w:tcPr>
          <w:p>
            <w:r>
              <w:rPr>
                <w:b/>
                <w:bCs/>
                <w:color w:val="222222"/>
                <w:sz w:val="18"/>
                <w:szCs w:val="18"/>
              </w:rPr>
              <w:t xml:space="preserve">User-Initiated Linking</w:t>
            </w:r>
          </w:p>
        </w:tc>
        <w:tc>
          <w:tcPr>
            <w:tcW w:type="dxa" w:w="2000"/>
            <w:tcMar>
              <w:top w:type="dxa" w:w="60"/>
              <w:left w:type="dxa" w:w="110"/>
              <w:bottom w:type="dxa" w:w="60"/>
              <w:right w:type="dxa" w:w="110"/>
            </w:tcMar>
          </w:tcPr>
          <w:p>
            <w:r>
              <w:rPr>
                <w:b/>
                <w:bCs/>
                <w:color w:val="9A6700"/>
                <w:sz w:val="18"/>
                <w:szCs w:val="18"/>
              </w:rPr>
              <w:t xml:space="preserve">Unproven</w:t>
            </w:r>
          </w:p>
        </w:tc>
        <w:tc>
          <w:tcPr>
            <w:tcW w:type="dxa" w:w="5440"/>
            <w:tcMar>
              <w:top w:type="dxa" w:w="60"/>
              <w:left w:type="dxa" w:w="110"/>
              <w:bottom w:type="dxa" w:w="60"/>
              <w:right w:type="dxa" w:w="110"/>
            </w:tcMar>
          </w:tcPr>
          <w:p>
            <w:pPr>
              <w:spacing w:line="240"/>
            </w:pPr>
            <w:r>
              <w:rPr>
                <w:sz w:val="18"/>
                <w:szCs w:val="18"/>
              </w:rPr>
              <w:t xml:space="preserve">Code complete and wired, including callbacks and UI. Every live attempt has failed with ABDM-side 500s. Cause unresolved.</w:t>
            </w:r>
          </w:p>
        </w:tc>
      </w:tr>
      <w:tr>
        <w:tc>
          <w:tcPr>
            <w:tcW w:type="dxa" w:w="3000"/>
            <w:tcMar>
              <w:top w:type="dxa" w:w="60"/>
              <w:left w:type="dxa" w:w="110"/>
              <w:bottom w:type="dxa" w:w="60"/>
              <w:right w:type="dxa" w:w="110"/>
            </w:tcMar>
          </w:tcPr>
          <w:p>
            <w:r>
              <w:rPr>
                <w:b/>
                <w:bCs/>
                <w:color w:val="222222"/>
                <w:sz w:val="18"/>
                <w:szCs w:val="18"/>
              </w:rPr>
              <w:t xml:space="preserve">Subscription</w:t>
            </w:r>
          </w:p>
        </w:tc>
        <w:tc>
          <w:tcPr>
            <w:tcW w:type="dxa" w:w="2000"/>
            <w:tcMar>
              <w:top w:type="dxa" w:w="60"/>
              <w:left w:type="dxa" w:w="110"/>
              <w:bottom w:type="dxa" w:w="60"/>
              <w:right w:type="dxa" w:w="110"/>
            </w:tcMar>
          </w:tcPr>
          <w:p>
            <w:r>
              <w:rPr>
                <w:b/>
                <w:bCs/>
                <w:color w:val="9B2226"/>
                <w:sz w:val="18"/>
                <w:szCs w:val="18"/>
              </w:rPr>
              <w:t xml:space="preserve">Not working</w:t>
            </w:r>
          </w:p>
        </w:tc>
        <w:tc>
          <w:tcPr>
            <w:tcW w:type="dxa" w:w="5440"/>
            <w:tcMar>
              <w:top w:type="dxa" w:w="60"/>
              <w:left w:type="dxa" w:w="110"/>
              <w:bottom w:type="dxa" w:w="60"/>
              <w:right w:type="dxa" w:w="110"/>
            </w:tcMar>
          </w:tcPr>
          <w:p>
            <w:pPr>
              <w:spacing w:line="240"/>
            </w:pPr>
            <w:r>
              <w:rPr>
                <w:sz w:val="18"/>
                <w:szCs w:val="18"/>
              </w:rPr>
              <w:t xml:space="preserve">Code complete. Every live attempt returned 400 across five different identity values — the signature of the account not being permitted at all.</w:t>
            </w:r>
          </w:p>
        </w:tc>
      </w:tr>
      <w:tr>
        <w:tc>
          <w:tcPr>
            <w:tcW w:type="dxa" w:w="3000"/>
            <w:tcMar>
              <w:top w:type="dxa" w:w="60"/>
              <w:left w:type="dxa" w:w="110"/>
              <w:bottom w:type="dxa" w:w="60"/>
              <w:right w:type="dxa" w:w="110"/>
            </w:tcMar>
          </w:tcPr>
          <w:p>
            <w:r>
              <w:rPr>
                <w:b/>
                <w:bCs/>
                <w:color w:val="222222"/>
                <w:sz w:val="18"/>
                <w:szCs w:val="18"/>
              </w:rPr>
              <w:t xml:space="preserve">Health Locker</w:t>
            </w:r>
          </w:p>
        </w:tc>
        <w:tc>
          <w:tcPr>
            <w:tcW w:type="dxa" w:w="2000"/>
            <w:tcMar>
              <w:top w:type="dxa" w:w="60"/>
              <w:left w:type="dxa" w:w="110"/>
              <w:bottom w:type="dxa" w:w="60"/>
              <w:right w:type="dxa" w:w="110"/>
            </w:tcMar>
          </w:tcPr>
          <w:p>
            <w:r>
              <w:rPr>
                <w:b/>
                <w:bCs/>
                <w:color w:val="9B2226"/>
                <w:sz w:val="18"/>
                <w:szCs w:val="18"/>
              </w:rPr>
              <w:t xml:space="preserve">Not working</w:t>
            </w:r>
          </w:p>
        </w:tc>
        <w:tc>
          <w:tcPr>
            <w:tcW w:type="dxa" w:w="5440"/>
            <w:tcMar>
              <w:top w:type="dxa" w:w="60"/>
              <w:left w:type="dxa" w:w="110"/>
              <w:bottom w:type="dxa" w:w="60"/>
              <w:right w:type="dxa" w:w="110"/>
            </w:tcMar>
          </w:tcPr>
          <w:p>
            <w:pPr>
              <w:spacing w:line="240"/>
            </w:pPr>
            <w:r>
              <w:rPr>
                <w:sz w:val="18"/>
                <w:szCs w:val="18"/>
              </w:rPr>
              <w:t xml:space="preserve">Code complete, never once submitted live. A from-scratch investigation has been specified but not yet run.</w:t>
            </w:r>
          </w:p>
        </w:tc>
      </w:tr>
      <w:tr>
        <w:tc>
          <w:tcPr>
            <w:tcW w:type="dxa" w:w="3000"/>
            <w:tcMar>
              <w:top w:type="dxa" w:w="60"/>
              <w:left w:type="dxa" w:w="110"/>
              <w:bottom w:type="dxa" w:w="60"/>
              <w:right w:type="dxa" w:w="110"/>
            </w:tcMar>
          </w:tcPr>
          <w:p>
            <w:r>
              <w:rPr>
                <w:b/>
                <w:bCs/>
                <w:color w:val="222222"/>
                <w:sz w:val="18"/>
                <w:szCs w:val="18"/>
              </w:rPr>
              <w:t xml:space="preserve">Scan and Share</w:t>
            </w:r>
          </w:p>
        </w:tc>
        <w:tc>
          <w:tcPr>
            <w:tcW w:type="dxa" w:w="2000"/>
            <w:tcMar>
              <w:top w:type="dxa" w:w="60"/>
              <w:left w:type="dxa" w:w="110"/>
              <w:bottom w:type="dxa" w:w="60"/>
              <w:right w:type="dxa" w:w="110"/>
            </w:tcMar>
          </w:tcPr>
          <w:p>
            <w:r>
              <w:rPr>
                <w:b/>
                <w:bCs/>
                <w:color w:val="9B2226"/>
                <w:sz w:val="18"/>
                <w:szCs w:val="18"/>
              </w:rPr>
              <w:t xml:space="preserve">Not built</w:t>
            </w:r>
          </w:p>
        </w:tc>
        <w:tc>
          <w:tcPr>
            <w:tcW w:type="dxa" w:w="5440"/>
            <w:tcMar>
              <w:top w:type="dxa" w:w="60"/>
              <w:left w:type="dxa" w:w="110"/>
              <w:bottom w:type="dxa" w:w="60"/>
              <w:right w:type="dxa" w:w="110"/>
            </w:tcMar>
          </w:tcPr>
          <w:p>
            <w:pPr>
              <w:spacing w:line="240"/>
            </w:pPr>
            <w:r>
              <w:rPr>
                <w:sz w:val="18"/>
                <w:szCs w:val="18"/>
              </w:rPr>
              <w:t xml:space="preserve">Callback path registered and archiving only. No outbound flow, no screen.</w:t>
            </w:r>
          </w:p>
        </w:tc>
      </w:tr>
    </w:tbl>
    <w:p>
      <w:pPr>
        <w:spacing w:after="120"/>
      </w:pPr>
    </w:p>
    <w:p>
      <w:pPr>
        <w:spacing w:after="120" w:line="268"/>
      </w:pPr>
      <w:r>
        <w:rPr>
          <w:color w:val="222222"/>
          <w:sz w:val="20"/>
          <w:szCs w:val="20"/>
        </w:rPr>
        <w:t xml:space="preserve">A note on reading status from the logs: the plain-text log files only carry status codes. Full request and response bodies go to the database archive instead. That means a sparse log does not mean nothing happened — check the archive table before concluding anything about what was or was not exercised.</w:t>
      </w:r>
    </w:p>
    <w:p>
      <w:pPr>
        <w:pStyle w:val="Heading1"/>
        <w:pBdr>
          <w:bottom w:val="single" w:color="0E6E5C" w:sz="8" w:space="3"/>
        </w:pBdr>
        <w:spacing w:after="100" w:before="320"/>
      </w:pPr>
      <w:r>
        <w:rPr>
          <w:b/>
          <w:bCs/>
          <w:color w:val="1F3A5F"/>
          <w:sz w:val="28"/>
          <w:szCs w:val="28"/>
        </w:rPr>
        <w:t xml:space="preserve">7. Conventions and gotchas</w:t>
      </w:r>
    </w:p>
    <w:p>
      <w:pPr>
        <w:spacing w:after="120" w:line="268"/>
      </w:pPr>
      <w:r>
        <w:rPr>
          <w:b/>
          <w:bCs/>
          <w:color w:val="222222"/>
          <w:sz w:val="20"/>
          <w:szCs w:val="20"/>
        </w:rPr>
        <w:t xml:space="preserve">Nothing at import time. </w:t>
      </w:r>
      <w:r>
        <w:rPr>
          <w:color w:val="222222"/>
          <w:sz w:val="20"/>
          <w:szCs w:val="20"/>
        </w:rPr>
        <w:t xml:space="preserve">Adding a module-level side effect anywhere in this package will fire inside the host application's import graph and break the mount. Put it in bootstrap.</w:t>
      </w:r>
    </w:p>
    <w:p>
      <w:pPr>
        <w:spacing w:after="120" w:line="268"/>
      </w:pPr>
      <w:r>
        <w:rPr>
          <w:b/>
          <w:bCs/>
          <w:color w:val="222222"/>
          <w:sz w:val="20"/>
          <w:szCs w:val="20"/>
        </w:rPr>
        <w:t xml:space="preserve">Which certificate to use is decided by scope, not by URL. </w:t>
      </w:r>
      <w:r>
        <w:rPr>
          <w:color w:val="222222"/>
          <w:sz w:val="20"/>
          <w:szCs w:val="20"/>
        </w:rPr>
        <w:t xml:space="preserve">Two ABDM certificates are in play, and the rule is that the request's own scope field selects between them — not the path it is being sent to. This has been gotten wrong three times in this project's history; each correction is documented at the call site.</w:t>
      </w:r>
    </w:p>
    <w:p>
      <w:pPr>
        <w:spacing w:after="120" w:line="268"/>
      </w:pPr>
      <w:r>
        <w:rPr>
          <w:b/>
          <w:bCs/>
          <w:color w:val="222222"/>
          <w:sz w:val="20"/>
          <w:szCs w:val="20"/>
        </w:rPr>
        <w:t xml:space="preserve">There are several different header conventions. </w:t>
      </w:r>
      <w:r>
        <w:rPr>
          <w:color w:val="222222"/>
          <w:sz w:val="20"/>
          <w:szCs w:val="20"/>
        </w:rPr>
        <w:t xml:space="preserve">Profile-family calls, consent and links, the provider directory, data flow and UIL each use a different combination. They look interchangeable and are not — copy the convention from the module that already does the same kind of call.</w:t>
      </w:r>
    </w:p>
    <w:p>
      <w:pPr>
        <w:spacing w:after="120" w:line="268"/>
      </w:pPr>
      <w:r>
        <w:rPr>
          <w:b/>
          <w:bCs/>
          <w:color w:val="222222"/>
          <w:sz w:val="20"/>
          <w:szCs w:val="20"/>
        </w:rPr>
        <w:t xml:space="preserve">ABDM's raw response body is returned untouched. </w:t>
      </w:r>
      <w:r>
        <w:rPr>
          <w:color w:val="222222"/>
          <w:sz w:val="20"/>
          <w:szCs w:val="20"/>
        </w:rPr>
        <w:t xml:space="preserve">This app invents no response models. ABDM leaves several response bodies undocumented, and the README's appendix records what real runs actually returned — treat those as evidence, not contract.</w:t>
      </w:r>
    </w:p>
    <w:p>
      <w:pPr>
        <w:spacing w:after="120" w:line="268"/>
      </w:pPr>
      <w:r>
        <w:rPr>
          <w:b/>
          <w:bCs/>
          <w:color w:val="222222"/>
          <w:sz w:val="20"/>
          <w:szCs w:val="20"/>
        </w:rPr>
        <w:t xml:space="preserve">Secrets are redacted twice. </w:t>
      </w:r>
      <w:r>
        <w:rPr>
          <w:color w:val="222222"/>
          <w:sz w:val="20"/>
          <w:szCs w:val="20"/>
        </w:rPr>
        <w:t xml:space="preserve">Plaintext mobile numbers, OTPs and passwords legitimately reach this backend, because the encryption happens here. They must never reach the archive or the logs, and two independent layers enforce that.</w:t>
      </w:r>
    </w:p>
    <w:p>
      <w:pPr>
        <w:spacing w:after="120" w:line="268"/>
      </w:pPr>
      <w:r>
        <w:t>Who owns the five HIU callback paths depends on the deployment, and it is set by one setting. Two routers in one FastAPI app cannot both own a path -- whichever is included first wins, silently. When this package is mounted inside the ABDM backend the two share a process, a client id and a callback URL, so the backend's own M3 HIU code owns them and ABDM_LOCKER_OWNS_HIU_CALLBACKS stays false. When the locker runs standalone under its own client id there is nothing else in the process to own them, and it must handle them itself, so the flag is true. The paths are consent request on-init, consent request notify, consent on-fetch, health-information on-request, and the HIP's direct data push.</w:t>
      </w:r>
    </w:p>
    <w:p>
      <w:pPr>
        <w:spacing w:after="120" w:line="268"/>
      </w:pPr>
      <w:r>
        <w:rPr>
          <w:b/>
          <w:bCs/>
          <w:color w:val="222222"/>
          <w:sz w:val="20"/>
          <w:szCs w:val="20"/>
        </w:rPr>
        <w:t xml:space="preserve">The UI is a harness with one hard rule. </w:t>
      </w:r>
      <w:r>
        <w:rPr>
          <w:color w:val="222222"/>
          <w:sz w:val="20"/>
          <w:szCs w:val="20"/>
        </w:rPr>
        <w:t xml:space="preserve">Every call goes through a single HTTP helper so the Console panel sees everything. A screen calling fetch directly opts out of the only thing this UI exists for.</w:t>
      </w:r>
    </w:p>
    <w:p>
      <w:pPr>
        <w:spacing w:after="120" w:line="268"/>
      </w:pPr>
      <w:r>
        <w:rPr>
          <w:b/>
          <w:bCs/>
          <w:color w:val="222222"/>
          <w:sz w:val="20"/>
          <w:szCs w:val="20"/>
        </w:rPr>
        <w:t xml:space="preserve">Read the banners. </w:t>
      </w:r>
      <w:r>
        <w:rPr>
          <w:color w:val="222222"/>
          <w:sz w:val="20"/>
          <w:szCs w:val="20"/>
        </w:rPr>
        <w:t xml:space="preserve">Most modules open with a long comment explaining what was confirmed against the specification, what was confirmed against a live capture, and what is still a guess. Several say UNCONFIRMED in capitals — those are open questions, not decoration.</w:t>
      </w:r>
    </w:p>
    <w:p>
      <w:pPr>
        <w:spacing w:after="120" w:line="268"/>
      </w:pPr>
      <w:r>
        <w:rPr>
          <w:b/>
          <w:bCs/>
          <w:color w:val="222222"/>
          <w:sz w:val="20"/>
          <w:szCs w:val="20"/>
        </w:rPr>
        <w:t xml:space="preserve">The task specifications are the design history. </w:t>
      </w:r>
      <w:r>
        <w:rPr>
          <w:color w:val="222222"/>
          <w:sz w:val="20"/>
          <w:szCs w:val="20"/>
        </w:rPr>
        <w:t xml:space="preserve">The CC_PROMPT files in the repository root record why each chunk was built the way it was, including the mistakes that were corrected along the way. Files cite them by name; they are worth reading when something looks arbitrary.</w:t>
      </w:r>
    </w:p>
    <w:p>
      <w:pPr>
        <w:pStyle w:val="Heading1"/>
      </w:pPr>
      <w:r>
        <w:t>8. The standalone locker (P20)</w:t>
      </w:r>
    </w:p>
    <w:p>
      <w:r>
        <w:t>Until this change the PHR app could not run without the ABDM backend. Its entire consent and data-flow chain imported that project's server package at runtime, so a patient's locker could raise a consent and never learn the outcome -- alerts stalled at CONSENT_REQUESTED indefinitely. That was backwards for an app whose premise is that the locker is its own ABDM entity, and it made the app unusable for anyone building only a patient app. All eight of those imports are gone; the app now builds a complete FastAPI application without the backend ever entering sys.modules.</w:t>
      </w:r>
    </w:p>
    <w:p>
      <w:pPr>
        <w:pStyle w:val="Heading2"/>
      </w:pPr>
      <w:r>
        <w:t>Two deployments, two identities</w:t>
      </w:r>
    </w:p>
    <w:p>
      <w:r>
        <w:t>Mounted: this router inside the ABDM backend on port 8000, sharing client id SBXID_046112 and one callback URL, reading .env. Standalone: the locker as its own registered ABDM entity on port 8001 -- client id SBXID_073333, facility IN3310002290 registered as HIP, HIU, HEALTH_LOCKER and PHR, its own ngrok tunnel -- reading .env.locker. AEGLE_PHR_ENV_FILE selects which. Getting that wrong is silent: the process boots healthy on the wrong config and simply never registers the callback routes.</w:t>
      </w:r>
    </w:p>
    <w:p>
      <w:pPr>
        <w:pStyle w:val="Heading2"/>
      </w:pPr>
      <w:r>
        <w:t>What the locker owns now</w:t>
      </w:r>
    </w:p>
    <w:p>
      <w:r>
        <w:t>hiu_client.py makes the outbound section 6 and 7 calls on abdm_core. hiu_services.py handles the five inbound HIU callbacks including the ECDH/AES decrypt pipeline. locker_hiu_repository.py and three locker_ tables hold pending correlations, consent artefacts and decrypted record content; they are namespaced away from the backend's own hiu_ tables because both share one database. locker_service.py drives the subscription and the 8.3.11 alert automation.</w:t>
      </w:r>
    </w:p>
    <w:p>
      <w:pPr>
        <w:pStyle w:val="Heading2"/>
      </w:pPr>
      <w:r>
        <w:t>Retention and erasure</w:t>
      </w:r>
    </w:p>
    <w:p>
      <w:r>
        <w:t>A Health Locker may store a patient's records for as long as the consent behind them is valid, which is why a login is a database read rather than a data request per hospital. The obligation is the other half: erasure fires on four triggers -- consent revoked, consent expired, dataEraseAt reached, and the patient opting out. Erasure destroys the decrypted bundles and leaves a tombstone of ids and timestamps, so 'did you hold my records, and when did you erase them' still has an answer. Opt-out additionally strips care-context references, because 'attended this hospital on this date' is health-adjacent on its own.</w:t>
      </w:r>
    </w:p>
    <w:p>
      <w:pPr>
        <w:pStyle w:val="Heading2"/>
      </w:pPr>
      <w:r>
        <w:t>Things that are true because ABDM says so</w:t>
      </w:r>
    </w:p>
    <w:p>
      <w:r>
        <w:t>A consent's permission.dateRange.to must be present or past -- a future window is rejected with ABDM-9999, 'Date must be a present/before date'. Every consent's data range therefore ends at the instant it was raised, so no existing consent can ever cover NEW data and a fresh consent per alert is required, not a missed optimisation. ABDM splits the job deliberately: the subscription is the standing mechanism that says when new data exists, and a consent is always point-in-time.</w:t>
      </w:r>
    </w:p>
    <w:p>
      <w:r>
        <w:t>dateRange.to is NOT a retention bound. It is the end of the data range requested; dataEraseAt is the retention deadline. Conflating them reports every artefact as erasable the moment it is collected.</w:t>
      </w:r>
    </w:p>
    <w:p>
      <w:r>
        <w:t>A HIP's data push is sent directly to the dataPushUrl, not relayed by the gateway, so it carries the HIP's own client id in azp. A static allowlist cannot work for a locker that receives pushes from arbitrary hospitals; hip_trust.py resolves the pushing bridge from ABDM's registry at the moment we request the data, which is tighter than relaxing the check -- only bridges we have an outstanding request with may push.</w:t>
      </w:r>
    </w:p>
    <w:p>
      <w:r>
        <w:t>User-Initiated Linking's X-HIU-ID must be the PHR facility id, not the client id. The client id is rejected with 'Invalid HIU ID'. This is why UIL was blocked for so long: the correct value did not exist until the facility was registered as a PHR service.</w:t>
      </w:r>
    </w:p>
    <w:p>
      <w:pPr>
        <w:pStyle w:val="Heading2"/>
      </w:pPr>
      <w:r>
        <w:t>Two traps that cost real debugging time</w:t>
      </w:r>
    </w:p>
    <w:p>
      <w:r>
        <w:t>SQLAlchemy's JSON types map Python None to a JSON null value, not SQL NULL. Erasure that assigns None therefore leaves rows that 'WHERE col IS NULL' does not match -- an audit of erasure would wrongly conclude nothing was erased. The locker's JSONB columns that erasure touches are declared with none_as_null=True.</w:t>
      </w:r>
    </w:p>
    <w:p>
      <w:r>
        <w:t>Every query over stored records is keyed on patient_id, including the opt-out erasure. A transfer written without one is invisible to the records read AND survives an erasure the patient asked for. hiu_client derives it from the consent artefact when a caller omits it, so no call site can reopen that hole.</w:t>
      </w:r>
    </w:p>
    <w:sectPr>
      <w:headerReference w:type="default" r:id="rId7"/>
      <w:footerReference w:type="default" r:id="rId8"/>
      <w:pgSz w:w="12240" w:h="15840" w:orient="portrait"/>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6"/>
        <w:szCs w:val="16"/>
      </w:rPr>
      <w:t xml:space="preserve">Aegle Care — PHR App 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2026-09-12T11:46:51.828Z</dcterms:created>
  <dcterms:modified xsi:type="dcterms:W3CDTF">2026-09-12T11:46:51.834Z</dcterms:modified>
</cp:coreProperties>
</file>

<file path=docProps/custom.xml><?xml version="1.0" encoding="utf-8"?>
<Properties xmlns="http://schemas.openxmlformats.org/officeDocument/2006/custom-properties" xmlns:vt="http://schemas.openxmlformats.org/officeDocument/2006/docPropsVTypes"/>
</file>