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6F3F1560" w:rsidRDefault="00D701D2" w14:paraId="52CFD5BC" w14:textId="195FA470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6F3F1560" w:rsidR="479D801F">
        <w:rPr>
          <w:rFonts w:ascii="Consolas" w:hAnsi="Consolas"/>
          <w:sz w:val="22"/>
          <w:szCs w:val="22"/>
          <w:u w:val="single"/>
        </w:rPr>
        <w:t>Researcher Profile</w:t>
      </w:r>
      <w:r w:rsidRPr="6F3F1560" w:rsidR="3BD5262B">
        <w:rPr>
          <w:rFonts w:ascii="Consolas" w:hAnsi="Consolas"/>
          <w:sz w:val="22"/>
          <w:szCs w:val="22"/>
          <w:u w:val="single"/>
        </w:rPr>
        <w:t>:</w:t>
      </w:r>
      <w:r w:rsidRPr="6F3F1560" w:rsidR="3BD5262B">
        <w:rPr>
          <w:rFonts w:ascii="Consolas" w:hAnsi="Consolas"/>
          <w:sz w:val="22"/>
          <w:szCs w:val="22"/>
        </w:rPr>
        <w:t xml:space="preserve"> Dr. </w:t>
      </w:r>
      <w:r w:rsidRPr="6F3F1560" w:rsidR="11F86119">
        <w:rPr>
          <w:rFonts w:ascii="Consolas" w:hAnsi="Consolas"/>
          <w:sz w:val="22"/>
          <w:szCs w:val="22"/>
        </w:rPr>
        <w:t>Lei Ding</w:t>
      </w:r>
      <w:r>
        <w:br/>
      </w:r>
      <w:r w:rsidRPr="6F3F1560" w:rsidR="3BD5262B">
        <w:rPr>
          <w:rFonts w:ascii="Consolas" w:hAnsi="Consolas"/>
          <w:sz w:val="22"/>
          <w:szCs w:val="22"/>
          <w:u w:val="single"/>
        </w:rPr>
        <w:t>Affiliation:</w:t>
      </w:r>
      <w:r w:rsidRPr="6F3F1560" w:rsidR="3BD5262B">
        <w:rPr>
          <w:rFonts w:ascii="Consolas" w:hAnsi="Consolas"/>
          <w:sz w:val="22"/>
          <w:szCs w:val="22"/>
        </w:rPr>
        <w:t xml:space="preserve"> </w:t>
      </w:r>
      <w:r w:rsidRPr="6F3F1560" w:rsidR="559E7452">
        <w:rPr>
          <w:rFonts w:ascii="Consolas" w:hAnsi="Consolas"/>
          <w:sz w:val="22"/>
          <w:szCs w:val="22"/>
        </w:rPr>
        <w:t>School of Electrical and Computer Engineering,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6F3F1560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6F3F1560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6F3F1560" w:rsidRDefault="00762C5A" w14:paraId="72A1C48E" w14:textId="19C82507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F3F1560" w:rsidR="25B9EF05">
              <w:rPr>
                <w:rFonts w:ascii="Consolas" w:hAnsi="Consolas"/>
                <w:sz w:val="22"/>
                <w:szCs w:val="22"/>
              </w:rPr>
              <w:t>-</w:t>
            </w:r>
            <w:r w:rsidRPr="6F3F1560" w:rsidR="24206077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6F3F1560" w:rsidR="2420607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Chemistry- Cognitive Science- Electrophysiology- Materials Science- Neurology (Post-COVID conditions, Spinal Cord Injury, Degenerative Cervical Myelopathy)- Neuroimaging- Neuroscience (Spinal Cord, Resting-State)- Photovoltaics- Semiconductor Physics</w:t>
            </w:r>
          </w:p>
        </w:tc>
      </w:tr>
      <w:tr w:rsidRPr="00D701D2" w:rsidR="00D701D2" w:rsidTr="6F3F1560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6F3F1560" w:rsidRDefault="00D701D2" w14:paraId="5849C198" w14:textId="3AE0F417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F3F1560" w:rsidR="479D801F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6F3F1560" w:rsidR="2335E71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Atomic Force Microscopy (AFM)- Defect Passivation- Density Functional Theory (DFT) calculation- Electrochemical Impedance Spectroscopy (EIS)- Electron extraction acceleration- External Quantum Efficiency (EQE) spectra- Intensity Modulated Photocurrent Spectrum (IMPS)- Interface Modification- J-V (Current density-voltage) curves- Maximum Power Point (MPP) tracking/aging- Photoluminescence quantum yield (PLQY) measurement- Quasi-Fermi level splitting (QFLS) estimation- Scanning Electron Microscopy (SEM)- Slot-die coating- Space-charge-limited current (SCLC)- Spin-coating- Steady-state photoluminescence (PL)- Time-resolved PL (TRPL)- Time-of-flight Secondary Ion Mass Spectrometry (TOF-SIMS)- UV/Vis Absorption Spectrum- Ultraviolet Photoelectron Spectroscopy (UPS)- Water contact angle measurement- X-ray Diffraction (XRD)- X-ray Photoelectron Spectroscopy (XPS)- Blood Oxygenation Level Dependent (BOLD) signal analysis- Direct electrical stimulation (Median nerve stimulation)- Electroencephalography (EEG) (128-channel)- Functional Magnetic Resonance Imaging (fMRI)- Functional spinal cord MRI (fMRI)- Magnetization Transfer (MT) pulse imaging- Motor threshold determination- Resting-state fMRI (rs-fMRI)- Single-shot echo-planar imaging (SS-EPI)- Structural MRI (sMRI, T1, T2, T2*)- Sub-motor threshold stimulation- T2*-sensitive gradient echo spiral in/out pulse sequence- Task-based fMRI- Beck Anxiety Index (BAI)- Beck Depression Index (BDI)- Modified Japanese Orthopedic Association (mJOA) survey- Montreal Cognitive Assessment (MoCA)- Neuropsychological testing- Repeatable Battery for the Assessment of Neuropsychological Status (RBANS)- Automatic spinal cord segmentation (sct_deepseg_sc)- Boundary Element Model (BEM)- Brain-age association (covariation analysis)- Brain-function association (covariation analysis)- Cluster simulation (3dClustSim)- Co-activation patterns (CAPs) analysis- Cortical source imaging (Cortical Current Density - CCD)- Data preprocessing (AFNI, SCT, FSL, EEGLAB)- DVARS-derived motion outlier regression- Functional connectivity (FC) measures- General Linear Model (GLM) framework- Gray/White Matter Ratio (GW Ratio) calculation- Group-level time-frequency ICA- Hemispheric symmetry index calculation- Hilbert transform- Image registration (sct_register_multimodal, sct_register_to_template)- Independent Component Analysis (ICA)- k-means clustering- Left/Right Index (LR Index) calculation- Magnetization Transfer Ratio (MTR) calculation (sct_compute_mtr)- Maximum a posteriori (MAP) method- Minimum-norm estimate- Motion Correction (2D slice-wise registration)- Nuisance signal regression- Physiological noise modeling (RETROICOR-based approach)- Region of Interest (ROI) analysis- Seed-based connectivity analysis- Short-time Fourier transform- Slice-timing correction (FSL slicetimer)- Spatial normalization (Talairach/PAM50 template)- Spinal cord segmentation (sct_deepseg_sc, sct_deepseg_gm, sct_deepseg_sc_epi)- Temporal autocorrelation correction (FMRIB's Improved Linear Model - FILM)- Tract-specific MTR extraction (sct_extract_metric)- Voxel z-score mapping- Warping PAM50 template- Whole-brain connectivity analysis- Bonferroni multiple comparison correction- Chi-squared (x²) tests- Cohen's d- Dunn's multiple comparison test- Fisher's z transform- Kolmogorov-Smirnov (LF KS) test- Kruskal-Wallis test- Linear regression models- Mann-Whitney U test- One-way ANOVA- Partial correlation- Shapiro-Wilk normality tests- Spearman's correlation- Two-sample t-test (paired and unpaired)</w:t>
            </w:r>
          </w:p>
        </w:tc>
      </w:tr>
      <w:tr w:rsidRPr="00D701D2" w:rsidR="00D701D2" w:rsidTr="6F3F1560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6F3F1560" w:rsidRDefault="009C5FD8" w14:paraId="7DF05BE8" w14:textId="1C983E25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F3F1560" w:rsidR="7AE1D86C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6F3F1560" w:rsidR="40C6CFA0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21 non-hospitalized post-COVID patients with cognitive complaints (recruited from Oklahoma City area via OUHSC IRB)- 3T MR750 GE scanner (at LIBR and OUHSC)- GE Signa 3T Architect scanner (at OU Medical Center)- 128-channel Amps 300 amplifier (EGI)- Polhemus Patriot system (digitizer)- Digitimer DS7A (constant current stimulator)- BIOPAC MRIRFIF DSUB-9 (filter port)- BIOPAC MECMRI-1 (MRI compatible electrode cable)- Analysis of Functional Neuroimages (AFNI)- EEGLAB toolbox- FASTER plugin (for EEGLAB)- FMRIB Software Library (FSL)- Freesurfer- GraphPad PRISM version 10.2.2- MATLAB R2021b- Spinal Cord Toolbox (SCT) (v6.1 and v.7)- Destrieux cortical surface atlas- PAM50 template- Schaefer 200-ROI atlas- Talairach and Tournoux template- Kunshan GCL Optoelectronic Material Co., Ltd.</w:t>
            </w:r>
          </w:p>
        </w:tc>
      </w:tr>
      <w:tr w:rsidRPr="00D701D2" w:rsidR="00D701D2" w:rsidTr="6F3F1560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6F3F1560" w:rsidRDefault="009C5FD8" w14:paraId="2C7C0372" w14:textId="727393D3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F3F1560" w:rsidR="7AE1D86C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6F3F1560" w:rsidR="504CEE14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Development of high-efficiency, large-scale renewable energy sources (e.g., stable perovskite solar modules)- Creation of quantitative, imaging-based biomarkers for diagnosing and tracking the severity of neurological conditions like Degenerative Cervical Myelopathy (DCM) and "Long COVID"- Informing clinical decision-making, such as identifying candidates for surgical decompression in DCM and predicting post-operative recovery- Advancing basic neuroscience research by providing methods to study the high-speed (millisecond-scale) dynamics of spontaneous brain activity and resting-state networks- Assessing the functional integrity of specific neural pathways (e.g., sensorimotor spinal tracts) in patients with physical impairments who cannot perform standard voluntary motor tasks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1650"/>
        <w:gridCol w:w="7827"/>
      </w:tblGrid>
      <w:tr w:rsidRPr="00D701D2" w:rsidR="00D800BD" w:rsidTr="6F3F1560" w14:paraId="1347F5F3" w14:textId="77777777">
        <w:tc>
          <w:tcPr>
            <w:tcW w:w="1650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827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6F3F1560" w14:paraId="0753C370" w14:textId="77777777">
        <w:tc>
          <w:tcPr>
            <w:tcW w:w="1650" w:type="dxa"/>
            <w:tcMar/>
          </w:tcPr>
          <w:p w:rsidR="006D7B27" w:rsidP="004561AD" w:rsidRDefault="006D7B27" w14:paraId="61F17E2C" w14:textId="36BF48EA">
            <w:pPr>
              <w:rPr>
                <w:rFonts w:ascii="Consolas" w:hAnsi="Consolas"/>
                <w:sz w:val="22"/>
                <w:szCs w:val="22"/>
              </w:rPr>
            </w:pPr>
            <w:r w:rsidRPr="6F3F1560" w:rsidR="38F70A8B">
              <w:rPr>
                <w:rFonts w:ascii="Consolas" w:hAnsi="Consolas"/>
                <w:sz w:val="22"/>
                <w:szCs w:val="22"/>
              </w:rPr>
              <w:t>Bridging Spatiotemporal Scales</w:t>
            </w:r>
          </w:p>
        </w:tc>
        <w:tc>
          <w:tcPr>
            <w:tcW w:w="7827" w:type="dxa"/>
            <w:tcMar/>
          </w:tcPr>
          <w:p w:rsidR="004F21F7" w:rsidP="6F3F1560" w:rsidRDefault="004F21F7" w14:paraId="08823C66" w14:textId="3AD75447">
            <w:pPr>
              <w:pStyle w:val="Normal"/>
            </w:pP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Connecting phenomena 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observed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at one scale (e.g., fast, microscopic) to their emergent properties at another (e.g., slow, macroscopic). (e.g., Linking ultrafast, transient neural "co-activation patterns" (CAPs) in EEG (sub-100ms) to the emergence of slow, time-averaged resting-state networks (RSNs) and 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validating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material modifications on small-scale solar cells (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0.1 cm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²) before scaling them up to large-area modules (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1160 cm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²)).</w:t>
            </w:r>
          </w:p>
        </w:tc>
      </w:tr>
      <w:tr w:rsidRPr="00D701D2" w:rsidR="00D800BD" w:rsidTr="6F3F1560" w14:paraId="39E55D6E" w14:textId="77777777">
        <w:tc>
          <w:tcPr>
            <w:tcW w:w="1650" w:type="dxa"/>
            <w:tcMar/>
          </w:tcPr>
          <w:p w:rsidR="004F21F7" w:rsidP="004561AD" w:rsidRDefault="004F21F7" w14:paraId="3FD9BBF4" w14:textId="4F16B82D">
            <w:pPr>
              <w:rPr>
                <w:rFonts w:ascii="Consolas" w:hAnsi="Consolas"/>
                <w:sz w:val="22"/>
                <w:szCs w:val="22"/>
              </w:rPr>
            </w:pPr>
            <w:r w:rsidRPr="6F3F1560" w:rsidR="38F70A8B">
              <w:rPr>
                <w:rFonts w:ascii="Consolas" w:hAnsi="Consolas"/>
                <w:sz w:val="22"/>
                <w:szCs w:val="22"/>
              </w:rPr>
              <w:t>Quantitative-Clinical Correlation</w:t>
            </w:r>
          </w:p>
        </w:tc>
        <w:tc>
          <w:tcPr>
            <w:tcW w:w="7827" w:type="dxa"/>
            <w:tcMar/>
          </w:tcPr>
          <w:p w:rsidR="004F21F7" w:rsidP="6F3F1560" w:rsidRDefault="004F21F7" w14:paraId="1F0C6758" w14:textId="7C8C14CE">
            <w:pPr>
              <w:pStyle w:val="Normal"/>
            </w:pP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Developing and 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validating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objective, measurable data as biomarkers by correlating them with established clinical or functional performance scores. 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Correlating Magnetization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Transfer Ratio (MTR) in specific spinal tracts with 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mJOA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motor scores in DCM patients and linking Default Mode Network (DMN) connectivity with RBANS cognitive performance scores in post-COVID patients).</w:t>
            </w:r>
          </w:p>
        </w:tc>
      </w:tr>
      <w:tr w:rsidRPr="00D701D2" w:rsidR="00D800BD" w:rsidTr="6F3F1560" w14:paraId="3F160920" w14:textId="77777777">
        <w:tc>
          <w:tcPr>
            <w:tcW w:w="1650" w:type="dxa"/>
            <w:tcMar/>
          </w:tcPr>
          <w:p w:rsidR="004F21F7" w:rsidP="004561AD" w:rsidRDefault="004F21F7" w14:paraId="32FF0C5F" w14:textId="54DFD73B">
            <w:pPr>
              <w:rPr>
                <w:rFonts w:ascii="Consolas" w:hAnsi="Consolas"/>
                <w:sz w:val="22"/>
                <w:szCs w:val="22"/>
              </w:rPr>
            </w:pPr>
            <w:r w:rsidRPr="6F3F1560" w:rsidR="38F70A8B">
              <w:rPr>
                <w:rFonts w:ascii="Consolas" w:hAnsi="Consolas"/>
                <w:sz w:val="22"/>
                <w:szCs w:val="22"/>
              </w:rPr>
              <w:t>Granular (Localized) Analysis</w:t>
            </w:r>
          </w:p>
        </w:tc>
        <w:tc>
          <w:tcPr>
            <w:tcW w:w="7827" w:type="dxa"/>
            <w:tcMar/>
          </w:tcPr>
          <w:p w:rsidR="004F21F7" w:rsidP="6F3F1560" w:rsidRDefault="004F21F7" w14:paraId="7D8A5619" w14:textId="3FF77F19">
            <w:pPr>
              <w:pStyle w:val="Normal"/>
            </w:pP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Moving beyond global or regional averages to isolate and analyze specific, high-resolution components where critical functions or failures occur. 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Focusing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on the perovskite/ETL interface as the key location for modification in solar cells, 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identifying</w:t>
            </w: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tract-specific (not just regional) white matter damage in DCM, and analyzing segmental-level (C5-C8) functional activation in the spinal cord).</w:t>
            </w:r>
          </w:p>
        </w:tc>
      </w:tr>
      <w:tr w:rsidR="6F3F1560" w:rsidTr="6F3F1560" w14:paraId="08F6B2ED">
        <w:trPr>
          <w:trHeight w:val="300"/>
        </w:trPr>
        <w:tc>
          <w:tcPr>
            <w:tcW w:w="1650" w:type="dxa"/>
            <w:tcMar/>
          </w:tcPr>
          <w:p w:rsidR="38F70A8B" w:rsidP="6F3F1560" w:rsidRDefault="38F70A8B" w14:paraId="4FF6C84B" w14:textId="50BD89E7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F3F1560" w:rsidR="38F70A8B">
              <w:rPr>
                <w:rFonts w:ascii="Consolas" w:hAnsi="Consolas"/>
                <w:sz w:val="22"/>
                <w:szCs w:val="22"/>
              </w:rPr>
              <w:t>Adaptive Methodology</w:t>
            </w:r>
          </w:p>
        </w:tc>
        <w:tc>
          <w:tcPr>
            <w:tcW w:w="7827" w:type="dxa"/>
            <w:tcMar/>
          </w:tcPr>
          <w:p w:rsidR="38F70A8B" w:rsidP="6F3F1560" w:rsidRDefault="38F70A8B" w14:paraId="50662423" w14:textId="326F7A8F">
            <w:pPr>
              <w:pStyle w:val="Normal"/>
            </w:pPr>
            <w:r w:rsidRPr="6F3F1560" w:rsidR="38F70A8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Modifying standard experimental techniques to accommodate the physical limitations of a subject or the chemical constraints of a material system. (e.g., Using passive median nerve stimulation for fMRI because DCM patients cannot reliably perform voluntary motor tasks and selecting a non-polar solvent (CB) to apply NFAs, which passivates defects without causing the structural damage that a traditional polar solvent (IPA) would).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6F3F1560" w:rsidR="7DD660CF">
        <w:rPr>
          <w:rFonts w:ascii="Consolas" w:hAnsi="Consolas"/>
          <w:sz w:val="22"/>
          <w:szCs w:val="22"/>
        </w:rPr>
        <w:t>Summary Description (for use as a KG node or metadata tag)</w:t>
      </w:r>
    </w:p>
    <w:p w:rsidR="64D857A1" w:rsidP="6F3F1560" w:rsidRDefault="64D857A1" w14:paraId="320F99CA" w14:textId="0E5A9311">
      <w:pPr>
        <w:pStyle w:val="Normal"/>
        <w:spacing w:line="240" w:lineRule="auto"/>
      </w:pPr>
      <w:r w:rsidRPr="6F3F1560" w:rsidR="64D857A1">
        <w:rPr>
          <w:rFonts w:ascii="Consolas" w:hAnsi="Consolas" w:eastAsia="Consolas" w:cs="Consolas"/>
          <w:noProof w:val="0"/>
          <w:sz w:val="22"/>
          <w:szCs w:val="22"/>
          <w:lang w:val="en-US"/>
        </w:rPr>
        <w:t>Dr. Lei Ding specializes in a dual focus spanning Neuroscience and Materials Science. In neuroimaging, he investigates brain and spinal cord function, exploring functional connectivity (FC) in the Default Mode Network (DMN) for post-COVID cognitive complaints and using task-based spinal fMRI and tract-specific Magnetization Transfer Ratio (MTR) to assess Degenerative Cervical Myelopathy (DCM). He also develops advanced electrophysiology methods, using Independent Component Analysis (ICA) and k-means clustering on EEG data to define transient Co-Activation Patterns (CAPs) and their relationship to Resting-State Networks (RSNs). In materials science, he contributes to advanced photovoltaics, specifically enhancing inverted perovskite solar cells (</w:t>
      </w:r>
      <w:r w:rsidRPr="6F3F1560" w:rsidR="64D857A1">
        <w:rPr>
          <w:rFonts w:ascii="Consolas" w:hAnsi="Consolas" w:eastAsia="Consolas" w:cs="Consolas"/>
          <w:noProof w:val="0"/>
          <w:sz w:val="22"/>
          <w:szCs w:val="22"/>
          <w:lang w:val="en-US"/>
        </w:rPr>
        <w:t>i</w:t>
      </w:r>
      <w:r w:rsidRPr="6F3F1560" w:rsidR="64D857A1">
        <w:rPr>
          <w:rFonts w:ascii="Consolas" w:hAnsi="Consolas" w:eastAsia="Consolas" w:cs="Consolas"/>
          <w:noProof w:val="0"/>
          <w:sz w:val="22"/>
          <w:szCs w:val="22"/>
          <w:lang w:val="en-US"/>
        </w:rPr>
        <w:t>-PSCs) through top interface modification with N-type semiconductors to improve efficiency and stability.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11F86119"/>
    <w:rsid w:val="1279759E"/>
    <w:rsid w:val="1C6BCEEC"/>
    <w:rsid w:val="2335E71E"/>
    <w:rsid w:val="24206077"/>
    <w:rsid w:val="25B9EF05"/>
    <w:rsid w:val="29280624"/>
    <w:rsid w:val="2C6AF129"/>
    <w:rsid w:val="31889C10"/>
    <w:rsid w:val="37E7E270"/>
    <w:rsid w:val="38F70A8B"/>
    <w:rsid w:val="3BD5262B"/>
    <w:rsid w:val="40C6CFA0"/>
    <w:rsid w:val="479D801F"/>
    <w:rsid w:val="4B9ECD99"/>
    <w:rsid w:val="504CEE14"/>
    <w:rsid w:val="559E7452"/>
    <w:rsid w:val="5855C133"/>
    <w:rsid w:val="64D857A1"/>
    <w:rsid w:val="6A09D2B1"/>
    <w:rsid w:val="6F3F1560"/>
    <w:rsid w:val="7AE1D86C"/>
    <w:rsid w:val="7C61D1AE"/>
    <w:rsid w:val="7DD6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2025-11-17T17:49:50.8332241Z</dcterms:modified>
</coreProperties>
</file>