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3DFBDDCB" w:rsidRDefault="00D701D2" w14:paraId="52CFD5BC" w14:textId="609C8748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3DFBDDCB" w:rsidR="1296D163">
        <w:rPr>
          <w:rFonts w:ascii="Consolas" w:hAnsi="Consolas"/>
          <w:sz w:val="22"/>
          <w:szCs w:val="22"/>
          <w:u w:val="single"/>
        </w:rPr>
        <w:t>Researcher Profile</w:t>
      </w:r>
      <w:r w:rsidRPr="3DFBDDCB" w:rsidR="0035B58E">
        <w:rPr>
          <w:rFonts w:ascii="Consolas" w:hAnsi="Consolas"/>
          <w:sz w:val="22"/>
          <w:szCs w:val="22"/>
          <w:u w:val="single"/>
        </w:rPr>
        <w:t>:</w:t>
      </w:r>
      <w:r w:rsidRPr="3DFBDDCB" w:rsidR="0035B58E">
        <w:rPr>
          <w:rFonts w:ascii="Consolas" w:hAnsi="Consolas"/>
          <w:sz w:val="22"/>
          <w:szCs w:val="22"/>
        </w:rPr>
        <w:t xml:space="preserve"> Dr.</w:t>
      </w:r>
      <w:r w:rsidRPr="3DFBDDCB" w:rsidR="21BF584E">
        <w:rPr>
          <w:rFonts w:ascii="Consolas" w:hAnsi="Consolas"/>
          <w:sz w:val="22"/>
          <w:szCs w:val="22"/>
        </w:rPr>
        <w:t xml:space="preserve"> Patrick McCann</w:t>
      </w:r>
      <w:r w:rsidRPr="3DFBDDCB" w:rsidR="0035B58E">
        <w:rPr>
          <w:rFonts w:ascii="Consolas" w:hAnsi="Consolas"/>
          <w:sz w:val="22"/>
          <w:szCs w:val="22"/>
        </w:rPr>
        <w:t xml:space="preserve"> </w:t>
      </w:r>
      <w:r>
        <w:br/>
      </w:r>
      <w:r w:rsidRPr="3DFBDDCB" w:rsidR="0035B58E">
        <w:rPr>
          <w:rFonts w:ascii="Consolas" w:hAnsi="Consolas"/>
          <w:sz w:val="22"/>
          <w:szCs w:val="22"/>
          <w:u w:val="single"/>
        </w:rPr>
        <w:t>Affiliation:</w:t>
      </w:r>
      <w:r w:rsidRPr="3DFBDDCB" w:rsidR="0035B58E">
        <w:rPr>
          <w:rFonts w:ascii="Consolas" w:hAnsi="Consolas"/>
          <w:sz w:val="22"/>
          <w:szCs w:val="22"/>
        </w:rPr>
        <w:t xml:space="preserve"> </w:t>
      </w:r>
      <w:r w:rsidRPr="3DFBDDCB" w:rsidR="6D448567">
        <w:rPr>
          <w:rFonts w:ascii="Consolas" w:hAnsi="Consolas"/>
          <w:sz w:val="22"/>
          <w:szCs w:val="22"/>
        </w:rPr>
        <w:t>School of</w:t>
      </w:r>
      <w:r w:rsidRPr="3DFBDDCB" w:rsidR="55FDABC8">
        <w:rPr>
          <w:rFonts w:ascii="Consolas" w:hAnsi="Consolas"/>
          <w:sz w:val="22"/>
          <w:szCs w:val="22"/>
        </w:rPr>
        <w:t xml:space="preserve"> </w:t>
      </w:r>
      <w:r w:rsidRPr="3DFBDDCB" w:rsidR="31D666C8">
        <w:rPr>
          <w:rFonts w:ascii="Consolas" w:hAnsi="Consolas"/>
          <w:sz w:val="22"/>
          <w:szCs w:val="22"/>
        </w:rPr>
        <w:t>Electrical and Computer Engineering</w:t>
      </w:r>
      <w:r w:rsidRPr="3DFBDDCB" w:rsidR="6D448567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3DFBDDCB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3DFBDDCB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3DFBDDCB" w:rsidRDefault="00762C5A" w14:paraId="72A1C48E" w14:textId="743BE851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DFBDDCB" w:rsidR="55FDABC8">
              <w:rPr>
                <w:rFonts w:ascii="Consolas" w:hAnsi="Consolas"/>
                <w:sz w:val="22"/>
                <w:szCs w:val="22"/>
              </w:rPr>
              <w:t>-</w:t>
            </w:r>
            <w:r w:rsidRPr="3DFBDDCB" w:rsidR="3104BF2D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3DFBDDCB" w:rsidR="1231A054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Analytical Chemistry- Bioanalytical Chemistry- Bioreactor Engineering- Cancer Biology- Cell Metabolism- Energy Economics- Energy Storage- Epitaxial Growth- Laser Spectroscopy- Materials Science- Nanotechnology- Quantum Well Physics- Renewable Energy Systems- Semiconductor Physics- Thermophotovoltaics (TPV)</w:t>
            </w:r>
          </w:p>
        </w:tc>
      </w:tr>
      <w:tr w:rsidRPr="00D701D2" w:rsidR="00D701D2" w:rsidTr="3DFBDDCB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3DFBDDCB" w:rsidRDefault="00D701D2" w14:paraId="5849C198" w14:textId="43B7F46F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DFBDDCB" w:rsidR="1296D163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DFBDDCB" w:rsidR="4509FD5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Mid-IR laser absorption spectroscopy- Interband Cascade Laser (ICL) spectroscopy- Wavelength modulation spectroscopy (2f detection)- Headspace gas analysis- Fourier transform infrared (FTIR) spectrometry- Allan-Werle variance analysis- Cell culturing in 3D hydrogel scaffolds- Flow perfusion bioreactor operation- Sterilization- Enzymatic Digestion- Centrifugation- Microscopic cell counting- TPV Device modeling- Quantum well calculations- Calculation of strain effects- Calculation of effective densities of states- Calculation of intrinsic carrier density (ni)- Calculation of reverse bias saturation current (Jo)- Diffusion-only charge collection modeling- Internal quantum efficiency (IQE) calculation- Optimization- Levelized Cost of Energy (LCOE) calculation</w:t>
            </w:r>
          </w:p>
        </w:tc>
      </w:tr>
      <w:tr w:rsidRPr="00D701D2" w:rsidR="00D701D2" w:rsidTr="3DFBDDCB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3DFBDDCB" w:rsidRDefault="009C5FD8" w14:paraId="7DF05BE8" w14:textId="4A01C04C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DFBDDCB" w:rsidR="26BFECAC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DFBDDCB" w:rsidR="42EEEB7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Hitran database- Lazard LCOE data- EMT6 murine mammary carcinoma breast cancer cells (ATCC)- Nanoplus GmbH (DFB ICL)- ILX Lightwave LDC-3900- SRS model #DS345- Vigo model #PDI-2 TE-6- Aerodyne (Herriott gas cell)- SRS model #SR810 DSP- National Instruments model #6052E- LabView- Vacuubrand model #MD8- Cole Parmer (Masterflex tubing)</w:t>
            </w:r>
          </w:p>
        </w:tc>
      </w:tr>
      <w:tr w:rsidRPr="00D701D2" w:rsidR="00D701D2" w:rsidTr="3DFBDDCB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3DFBDDCB" w:rsidRDefault="009C5FD8" w14:paraId="2C7C0372" w14:textId="65EA4E49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DFBDDCB" w:rsidR="26BFECAC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DFBDDCB" w:rsidR="4421401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Thermal Energy Grid Storage (TEGS) systems for utility-scale power- Early-stage cancer detection and cancer therapy monitoring- On-line, real-time monitoring of cell metabolism in bioreactors- Combined heat and power (CHP) systems for residential or industrial use- Space power systems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665"/>
        <w:gridCol w:w="7812"/>
      </w:tblGrid>
      <w:tr w:rsidRPr="00D701D2" w:rsidR="00D800BD" w:rsidTr="3DFBDDCB" w14:paraId="1347F5F3" w14:textId="77777777">
        <w:tc>
          <w:tcPr>
            <w:tcW w:w="1665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812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3DFBDDCB" w14:paraId="0753C370" w14:textId="77777777">
        <w:tc>
          <w:tcPr>
            <w:tcW w:w="1665" w:type="dxa"/>
            <w:tcMar/>
          </w:tcPr>
          <w:p w:rsidR="006D7B27" w:rsidP="004561AD" w:rsidRDefault="006D7B27" w14:paraId="61F17E2C" w14:textId="6747BFE1">
            <w:pPr>
              <w:rPr>
                <w:rFonts w:ascii="Consolas" w:hAnsi="Consolas"/>
                <w:sz w:val="22"/>
                <w:szCs w:val="22"/>
              </w:rPr>
            </w:pPr>
            <w:r w:rsidRPr="3DFBDDCB" w:rsidR="01F80B1F">
              <w:rPr>
                <w:rFonts w:ascii="Consolas" w:hAnsi="Consolas"/>
                <w:sz w:val="22"/>
                <w:szCs w:val="22"/>
              </w:rPr>
              <w:t>Cost-Driven Materials Engineering</w:t>
            </w:r>
          </w:p>
        </w:tc>
        <w:tc>
          <w:tcPr>
            <w:tcW w:w="7812" w:type="dxa"/>
            <w:tcMar/>
          </w:tcPr>
          <w:p w:rsidR="004F21F7" w:rsidP="3DFBDDCB" w:rsidRDefault="004F21F7" w14:paraId="08823C66" w14:textId="0019EE11">
            <w:pPr>
              <w:pStyle w:val="Normal"/>
            </w:pP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Selecting and designing materials primarily to overcome a critical cost barrier in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an existing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technology.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The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researchers chose IV-VI semiconductor alloys (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PbSnSe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PbSrSe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) because they can be grown on "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low cost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silicon substrates", aiming to solve the high-cost problem of traditional III-V TPV devices that require expensive substrates).</w:t>
            </w:r>
          </w:p>
        </w:tc>
      </w:tr>
      <w:tr w:rsidRPr="00D701D2" w:rsidR="00D800BD" w:rsidTr="3DFBDDCB" w14:paraId="39E55D6E" w14:textId="77777777">
        <w:tc>
          <w:tcPr>
            <w:tcW w:w="1665" w:type="dxa"/>
            <w:tcMar/>
          </w:tcPr>
          <w:p w:rsidR="004F21F7" w:rsidP="004561AD" w:rsidRDefault="004F21F7" w14:paraId="3FD9BBF4" w14:textId="019E619C">
            <w:pPr>
              <w:rPr>
                <w:rFonts w:ascii="Consolas" w:hAnsi="Consolas"/>
                <w:sz w:val="22"/>
                <w:szCs w:val="22"/>
              </w:rPr>
            </w:pPr>
            <w:r w:rsidRPr="3DFBDDCB" w:rsidR="01F80B1F">
              <w:rPr>
                <w:rFonts w:ascii="Consolas" w:hAnsi="Consolas"/>
                <w:sz w:val="22"/>
                <w:szCs w:val="22"/>
              </w:rPr>
              <w:t>Band Structure Engineering</w:t>
            </w:r>
          </w:p>
        </w:tc>
        <w:tc>
          <w:tcPr>
            <w:tcW w:w="7812" w:type="dxa"/>
            <w:tcMar/>
          </w:tcPr>
          <w:p w:rsidR="004F21F7" w:rsidP="3DFBDDCB" w:rsidRDefault="004F21F7" w14:paraId="1F0C6758" w14:textId="76B76D3B">
            <w:pPr>
              <w:pStyle w:val="Normal"/>
            </w:pP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Using quantum confinement principles to intentionally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modify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 material's electronic properties to achieve a specific performance goal.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The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researchers used multiple quantum wells (MQWs) to "remove L-valley degeneracy". This quantum effect reduces the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material's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density of states, which in turn decreases reverse saturation currents and "increases open circuit voltage", solving a known flaw in bulk IV-VI semiconductors).</w:t>
            </w:r>
          </w:p>
        </w:tc>
      </w:tr>
      <w:tr w:rsidRPr="00D701D2" w:rsidR="00D800BD" w:rsidTr="3DFBDDCB" w14:paraId="3F160920" w14:textId="77777777">
        <w:tc>
          <w:tcPr>
            <w:tcW w:w="1665" w:type="dxa"/>
            <w:tcMar/>
          </w:tcPr>
          <w:p w:rsidR="004F21F7" w:rsidP="004561AD" w:rsidRDefault="004F21F7" w14:paraId="32FF0C5F" w14:textId="3020B843">
            <w:pPr>
              <w:rPr>
                <w:rFonts w:ascii="Consolas" w:hAnsi="Consolas"/>
                <w:sz w:val="22"/>
                <w:szCs w:val="22"/>
              </w:rPr>
            </w:pPr>
            <w:r w:rsidRPr="3DFBDDCB" w:rsidR="01F80B1F">
              <w:rPr>
                <w:rFonts w:ascii="Consolas" w:hAnsi="Consolas"/>
                <w:sz w:val="22"/>
                <w:szCs w:val="22"/>
              </w:rPr>
              <w:t>System-Level Optimization and Economic Modeling</w:t>
            </w:r>
          </w:p>
        </w:tc>
        <w:tc>
          <w:tcPr>
            <w:tcW w:w="7812" w:type="dxa"/>
            <w:tcMar/>
          </w:tcPr>
          <w:p w:rsidR="004F21F7" w:rsidP="3DFBDDCB" w:rsidRDefault="004F21F7" w14:paraId="7D8A5619" w14:textId="1059F06B">
            <w:pPr>
              <w:pStyle w:val="Normal"/>
            </w:pP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Designing a multi-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component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device by optimizing its parameters for a specific operational system and evaluating its viability with a real-world economic framework.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The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researchers designed triple-junction TPV devices with specific bandgaps (707, 559, and 443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meV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) to match the emission spectrum of a 1400°C radiator. They then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optimized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layer thicknesses for "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current-matching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" and used the resulting performance (power generation and efficiency) in a "levelized cost of energy (LCOE) calculation" to prove the economic competitiveness of the entire thermal storage system).</w:t>
            </w:r>
          </w:p>
        </w:tc>
      </w:tr>
      <w:tr w:rsidR="3DFBDDCB" w:rsidTr="3DFBDDCB" w14:paraId="5C511901">
        <w:trPr>
          <w:trHeight w:val="300"/>
        </w:trPr>
        <w:tc>
          <w:tcPr>
            <w:tcW w:w="1665" w:type="dxa"/>
            <w:tcMar/>
          </w:tcPr>
          <w:p w:rsidR="01F80B1F" w:rsidP="3DFBDDCB" w:rsidRDefault="01F80B1F" w14:paraId="4480EA24" w14:textId="2324978E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DFBDDCB" w:rsidR="01F80B1F">
              <w:rPr>
                <w:rFonts w:ascii="Consolas" w:hAnsi="Consolas"/>
                <w:sz w:val="22"/>
                <w:szCs w:val="22"/>
              </w:rPr>
              <w:t>Proxy-Based Biomarker Sensing</w:t>
            </w:r>
          </w:p>
        </w:tc>
        <w:tc>
          <w:tcPr>
            <w:tcW w:w="7812" w:type="dxa"/>
            <w:tcMar/>
          </w:tcPr>
          <w:p w:rsidR="01F80B1F" w:rsidP="3DFBDDCB" w:rsidRDefault="01F80B1F" w14:paraId="0F78558E" w14:textId="34F8554D">
            <w:pPr>
              <w:pStyle w:val="Normal"/>
            </w:pP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Identifying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 measurable, downstream chemical (a proxy) to non-invasively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monitor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 complex, difficult-to-measure biological process.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The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researchers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identified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volatile acetaldehyde as a measurable proxy for elevated pyruvate concentrations in cancer cells. They then used a mid-IR laser to measure this gas-phase acetaldehyde to 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observe</w:t>
            </w:r>
            <w:r w:rsidRPr="3DFBDDCB" w:rsidR="01F80B1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"HIF-1α driven shifts in cancer cell metabolism", which is the complex biological process of interest).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3DFBDDCB" w:rsidR="14A33B83">
        <w:rPr>
          <w:rFonts w:ascii="Consolas" w:hAnsi="Consolas"/>
          <w:sz w:val="22"/>
          <w:szCs w:val="22"/>
        </w:rPr>
        <w:t>Summary Description (for use as a KG node or metadata tag)</w:t>
      </w:r>
    </w:p>
    <w:p w:rsidR="55E0E9AA" w:rsidP="3DFBDDCB" w:rsidRDefault="55E0E9AA" w14:paraId="11EAA8BF" w14:textId="46BA2046">
      <w:pPr>
        <w:pStyle w:val="Normal"/>
        <w:spacing w:line="240" w:lineRule="auto"/>
      </w:pPr>
      <w:r w:rsidRPr="3DFBDDCB" w:rsidR="55E0E9AA">
        <w:rPr>
          <w:rFonts w:ascii="Consolas" w:hAnsi="Consolas" w:eastAsia="Consolas" w:cs="Consolas"/>
          <w:noProof w:val="0"/>
          <w:sz w:val="22"/>
          <w:szCs w:val="22"/>
          <w:lang w:val="en-US"/>
        </w:rPr>
        <w:t>Dr. Patrick McCann specializes in IV-VI semiconductor physics, exploring the interplay between materials science and energy conversion, particularly in thermophotovoltaics (TPV). His research focuses on designing and modeling PbSnSe/PbSrSe multiple quantum well (MQW) structures grown on low-cost silicon substrates. He applies techniques like band structure engineering, leveraging quantum confinement to remove L-valley degeneracy and enhance TPV device performance. This work is often contextualized with system-level economic modeling, like Levelized Cost of Energy (LCOE) analysis, for molten silicon thermal energy storage. His expertise also extends to mid-IR optoelectronics, utilizing Interband Cascade Lasers (ICLs) for high-sensitivity trace gas sensing in bioanalytical applications, such as monitoring acetaldehyde from breast cancer cell metabolism.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5B58E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1F80B1F"/>
    <w:rsid w:val="0FF751E2"/>
    <w:rsid w:val="10B69BFA"/>
    <w:rsid w:val="1231A054"/>
    <w:rsid w:val="1296D163"/>
    <w:rsid w:val="14A33B83"/>
    <w:rsid w:val="167C250C"/>
    <w:rsid w:val="21BF584E"/>
    <w:rsid w:val="26BFECAC"/>
    <w:rsid w:val="3104BF2D"/>
    <w:rsid w:val="31D666C8"/>
    <w:rsid w:val="3762612F"/>
    <w:rsid w:val="3DFBDDCB"/>
    <w:rsid w:val="42EEEB78"/>
    <w:rsid w:val="44214017"/>
    <w:rsid w:val="4509FD55"/>
    <w:rsid w:val="55E0E9AA"/>
    <w:rsid w:val="55FDABC8"/>
    <w:rsid w:val="5E21F068"/>
    <w:rsid w:val="609AFD1E"/>
    <w:rsid w:val="6D448567"/>
    <w:rsid w:val="71374CBA"/>
    <w:rsid w:val="7F87D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2025-11-17T18:21:55.7794213Z</dcterms:modified>
</coreProperties>
</file>