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4" w:val="single"/>
          <w:bottom w:color="000000" w:space="1" w:sz="4" w:val="single"/>
        </w:pBdr>
        <w:rPr>
          <w:rFonts w:ascii="Consolas" w:cs="Consolas" w:eastAsia="Consolas" w:hAnsi="Consolas"/>
          <w:sz w:val="22"/>
          <w:szCs w:val="22"/>
        </w:rPr>
      </w:pPr>
      <w:r w:rsidDel="00000000" w:rsidR="00000000" w:rsidRPr="00000000">
        <w:rPr>
          <w:rFonts w:ascii="Consolas" w:cs="Consolas" w:eastAsia="Consolas" w:hAnsi="Consolas"/>
          <w:sz w:val="22"/>
          <w:szCs w:val="22"/>
          <w:u w:val="single"/>
          <w:rtl w:val="0"/>
        </w:rPr>
        <w:t xml:space="preserve">Researcher Profile:</w:t>
      </w:r>
      <w:r w:rsidDel="00000000" w:rsidR="00000000" w:rsidRPr="00000000">
        <w:rPr>
          <w:rFonts w:ascii="Consolas" w:cs="Consolas" w:eastAsia="Consolas" w:hAnsi="Consolas"/>
          <w:sz w:val="22"/>
          <w:szCs w:val="22"/>
          <w:rtl w:val="0"/>
        </w:rPr>
        <w:t xml:space="preserve"> Dr. Hairong Song</w:t>
        <w:br w:type="textWrapping"/>
      </w:r>
      <w:r w:rsidDel="00000000" w:rsidR="00000000" w:rsidRPr="00000000">
        <w:rPr>
          <w:rFonts w:ascii="Consolas" w:cs="Consolas" w:eastAsia="Consolas" w:hAnsi="Consolas"/>
          <w:sz w:val="22"/>
          <w:szCs w:val="22"/>
          <w:u w:val="single"/>
          <w:rtl w:val="0"/>
        </w:rPr>
        <w:t xml:space="preserve">Affiliation:</w:t>
      </w:r>
      <w:r w:rsidDel="00000000" w:rsidR="00000000" w:rsidRPr="00000000">
        <w:rPr>
          <w:rFonts w:ascii="Consolas" w:cs="Consolas" w:eastAsia="Consolas" w:hAnsi="Consolas"/>
          <w:sz w:val="22"/>
          <w:szCs w:val="22"/>
          <w:rtl w:val="0"/>
        </w:rPr>
        <w:t xml:space="preserve"> Department of Psychology, University of Oklahoma</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7"/>
        <w:gridCol w:w="7803"/>
        <w:tblGridChange w:id="0">
          <w:tblGrid>
            <w:gridCol w:w="1547"/>
            <w:gridCol w:w="7803"/>
          </w:tblGrid>
        </w:tblGridChange>
      </w:tblGrid>
      <w:tr>
        <w:trPr>
          <w:cantSplit w:val="0"/>
          <w:tblHeader w:val="0"/>
        </w:trPr>
        <w:tc>
          <w:tcPr/>
          <w:p w:rsidR="00000000" w:rsidDel="00000000" w:rsidP="00000000" w:rsidRDefault="00000000" w:rsidRPr="00000000" w14:paraId="00000002">
            <w:pPr>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Category</w:t>
            </w:r>
          </w:p>
        </w:tc>
        <w:tc>
          <w:tcPr/>
          <w:p w:rsidR="00000000" w:rsidDel="00000000" w:rsidP="00000000" w:rsidRDefault="00000000" w:rsidRPr="00000000" w14:paraId="00000003">
            <w:pPr>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Content</w:t>
            </w:r>
          </w:p>
        </w:tc>
      </w:tr>
      <w:tr>
        <w:trPr>
          <w:cantSplit w:val="0"/>
          <w:tblHeader w:val="0"/>
        </w:trPr>
        <w:tc>
          <w:tcPr/>
          <w:p w:rsidR="00000000" w:rsidDel="00000000" w:rsidP="00000000" w:rsidRDefault="00000000" w:rsidRPr="00000000" w14:paraId="00000004">
            <w:pPr>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Research Domains</w:t>
            </w:r>
          </w:p>
        </w:tc>
        <w:tc>
          <w:tcPr/>
          <w:p w:rsidR="00000000" w:rsidDel="00000000" w:rsidP="00000000" w:rsidRDefault="00000000" w:rsidRPr="00000000" w14:paraId="00000005">
            <w:pPr>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Social Psychology- Cross-Cultural Psychology- Gender Studies- Chronic Disease Epidemiology- Preventative Medicine- Public Health- Health Psychology- Cultural Studies- Behavioral Science- Data Science- Psychopathology- Neuroscience- Statistics</w:t>
            </w:r>
          </w:p>
        </w:tc>
      </w:tr>
      <w:tr>
        <w:trPr>
          <w:cantSplit w:val="0"/>
          <w:tblHeader w:val="0"/>
        </w:trPr>
        <w:tc>
          <w:tcPr/>
          <w:p w:rsidR="00000000" w:rsidDel="00000000" w:rsidP="00000000" w:rsidRDefault="00000000" w:rsidRPr="00000000" w14:paraId="00000006">
            <w:pPr>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Techniques Used</w:t>
            </w:r>
          </w:p>
        </w:tc>
        <w:tc>
          <w:tcPr/>
          <w:p w:rsidR="00000000" w:rsidDel="00000000" w:rsidP="00000000" w:rsidRDefault="00000000" w:rsidRPr="00000000" w14:paraId="00000007">
            <w:pPr>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Longitudinal Study- Weighted Multilevel Logistic Regression- Cross-sectional Analysis- Composite Variable Creation- Factorial Invariance Testing- Confirmatory Factor Analysis- Multiple Indicator, Multiple Causes Models- Welch’s t-tests- Chi-square- Root Mean Square Error of Approximation- Standardized Root Mean Square Residual- Tucker-Lewis Index- Quantitative Survey- Bivariate Correlation analysis- Sequential Mediation Analysis- Bootstrapping- Vector Autoregressive Models- Model-based Clustering- Gaussian Mixture Model- k-means- Akaike Information Criterion- Bayesian Information Criterion- Adjusted Rand Index-Euclidean Distance- Generalized Linear Mixed Models- Regularized Penalized Quasi-Likelihood- Ranking Worth Estimating Placket-Luce Model- Least Absolute Shrinkage and Selection operator- Biojective k-Nearest-Neighbor-Based Imputation</w:t>
            </w:r>
          </w:p>
        </w:tc>
      </w:tr>
      <w:tr>
        <w:trPr>
          <w:cantSplit w:val="0"/>
          <w:tblHeader w:val="0"/>
        </w:trPr>
        <w:tc>
          <w:tcPr/>
          <w:p w:rsidR="00000000" w:rsidDel="00000000" w:rsidP="00000000" w:rsidRDefault="00000000" w:rsidRPr="00000000" w14:paraId="00000008">
            <w:pPr>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Data &amp; Platforms</w:t>
            </w:r>
          </w:p>
        </w:tc>
        <w:tc>
          <w:tcPr/>
          <w:p w:rsidR="00000000" w:rsidDel="00000000" w:rsidP="00000000" w:rsidRDefault="00000000" w:rsidRPr="00000000" w14:paraId="00000009">
            <w:pPr>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Self-collected data- United States National Longitudinal Study of Adolescent to Adult Health- “How Nuts are the Dutch” project data- U.K. Millenium Cohort Study- Mplus- SPSS- GitHub- Amelia II- R</w:t>
            </w:r>
          </w:p>
        </w:tc>
      </w:tr>
      <w:tr>
        <w:trPr>
          <w:cantSplit w:val="0"/>
          <w:tblHeader w:val="0"/>
        </w:trPr>
        <w:tc>
          <w:tcPr/>
          <w:p w:rsidR="00000000" w:rsidDel="00000000" w:rsidP="00000000" w:rsidRDefault="00000000" w:rsidRPr="00000000" w14:paraId="0000000A">
            <w:pPr>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Application Areas</w:t>
            </w:r>
          </w:p>
        </w:tc>
        <w:tc>
          <w:tcPr/>
          <w:p w:rsidR="00000000" w:rsidDel="00000000" w:rsidP="00000000" w:rsidRDefault="00000000" w:rsidRPr="00000000" w14:paraId="0000000B">
            <w:pPr>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Public Health and Clinical Interventions- Health Research- Sociology Education- Behavioral Research- Domestic violence and Abuse</w:t>
            </w:r>
          </w:p>
        </w:tc>
      </w:tr>
    </w:tbl>
    <w:p w:rsidR="00000000" w:rsidDel="00000000" w:rsidP="00000000" w:rsidRDefault="00000000" w:rsidRPr="00000000" w14:paraId="0000000C">
      <w:pPr>
        <w:spacing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0D">
      <w:pPr>
        <w:pBdr>
          <w:top w:color="000000" w:space="1" w:sz="6" w:val="single"/>
          <w:bottom w:color="000000" w:space="1" w:sz="6" w:val="single"/>
        </w:pBdr>
        <w:spacing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Key Research Thinking Patterns</w:t>
      </w:r>
    </w:p>
    <w:tbl>
      <w:tblPr>
        <w:tblStyle w:val="Table2"/>
        <w:tblW w:w="91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5"/>
        <w:gridCol w:w="6600"/>
        <w:tblGridChange w:id="0">
          <w:tblGrid>
            <w:gridCol w:w="2595"/>
            <w:gridCol w:w="6600"/>
          </w:tblGrid>
        </w:tblGridChange>
      </w:tblGrid>
      <w:tr>
        <w:trPr>
          <w:cantSplit w:val="0"/>
          <w:tblHeader w:val="0"/>
        </w:trPr>
        <w:tc>
          <w:tcPr/>
          <w:p w:rsidR="00000000" w:rsidDel="00000000" w:rsidP="00000000" w:rsidRDefault="00000000" w:rsidRPr="00000000" w14:paraId="0000000E">
            <w:pPr>
              <w:spacing w:after="16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Aspect</w:t>
            </w:r>
          </w:p>
        </w:tc>
        <w:tc>
          <w:tcPr/>
          <w:p w:rsidR="00000000" w:rsidDel="00000000" w:rsidP="00000000" w:rsidRDefault="00000000" w:rsidRPr="00000000" w14:paraId="0000000F">
            <w:pPr>
              <w:spacing w:after="16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Detail</w:t>
            </w:r>
          </w:p>
        </w:tc>
      </w:tr>
      <w:tr>
        <w:trPr>
          <w:cantSplit w:val="0"/>
          <w:tblHeader w:val="0"/>
        </w:trPr>
        <w:tc>
          <w:tcPr/>
          <w:p w:rsidR="00000000" w:rsidDel="00000000" w:rsidP="00000000" w:rsidRDefault="00000000" w:rsidRPr="00000000" w14:paraId="00000010">
            <w:pPr>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Connect Frameworks to Health</w:t>
            </w:r>
          </w:p>
        </w:tc>
        <w:tc>
          <w:tcPr/>
          <w:p w:rsidR="00000000" w:rsidDel="00000000" w:rsidP="00000000" w:rsidRDefault="00000000" w:rsidRPr="00000000" w14:paraId="00000011">
            <w:pPr>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Links abstract social constructs and cultural norms to concrete health behaviors (e.g. connects feminine honor ideology to HPV vaccination intentions, links chronic disease status to long-term smoking habits).</w:t>
            </w:r>
          </w:p>
        </w:tc>
      </w:tr>
      <w:tr>
        <w:trPr>
          <w:cantSplit w:val="0"/>
          <w:tblHeader w:val="0"/>
        </w:trPr>
        <w:tc>
          <w:tcPr/>
          <w:p w:rsidR="00000000" w:rsidDel="00000000" w:rsidP="00000000" w:rsidRDefault="00000000" w:rsidRPr="00000000" w14:paraId="00000012">
            <w:pPr>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Methodological Innovation</w:t>
            </w:r>
          </w:p>
        </w:tc>
        <w:tc>
          <w:tcPr/>
          <w:p w:rsidR="00000000" w:rsidDel="00000000" w:rsidP="00000000" w:rsidRDefault="00000000" w:rsidRPr="00000000" w14:paraId="00000013">
            <w:pPr>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Innovates and refines statistical methods to solve complex data problems (e.g. co-developing random rPQL algorithm for variable selection, establishing workflow for clustering intensive longitudinal data).</w:t>
            </w:r>
          </w:p>
        </w:tc>
      </w:tr>
      <w:tr>
        <w:trPr>
          <w:cantSplit w:val="0"/>
          <w:tblHeader w:val="0"/>
        </w:trPr>
        <w:tc>
          <w:tcPr/>
          <w:p w:rsidR="00000000" w:rsidDel="00000000" w:rsidP="00000000" w:rsidRDefault="00000000" w:rsidRPr="00000000" w14:paraId="00000014">
            <w:pPr>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Rigorous Validation</w:t>
            </w:r>
          </w:p>
        </w:tc>
        <w:tc>
          <w:tcPr/>
          <w:p w:rsidR="00000000" w:rsidDel="00000000" w:rsidP="00000000" w:rsidRDefault="00000000" w:rsidRPr="00000000" w14:paraId="00000015">
            <w:pPr>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Validates research through large-scale simulations and long-term cohort studies (e.g. using extensive simulation studies to test new statistical algorithms).</w:t>
            </w:r>
          </w:p>
        </w:tc>
      </w:tr>
      <w:tr>
        <w:trPr>
          <w:cantSplit w:val="0"/>
          <w:tblHeader w:val="0"/>
        </w:trPr>
        <w:tc>
          <w:tcPr/>
          <w:p w:rsidR="00000000" w:rsidDel="00000000" w:rsidP="00000000" w:rsidRDefault="00000000" w:rsidRPr="00000000" w14:paraId="00000016">
            <w:pPr>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Challenging Assumptions</w:t>
            </w:r>
          </w:p>
        </w:tc>
        <w:tc>
          <w:tcPr/>
          <w:p w:rsidR="00000000" w:rsidDel="00000000" w:rsidP="00000000" w:rsidRDefault="00000000" w:rsidRPr="00000000" w14:paraId="00000017">
            <w:pPr>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Challenges existing assumptions and investigates understudied research problems (e.g. questioning “gender independence” of honor culture). </w:t>
            </w:r>
          </w:p>
        </w:tc>
      </w:tr>
    </w:tbl>
    <w:p w:rsidR="00000000" w:rsidDel="00000000" w:rsidP="00000000" w:rsidRDefault="00000000" w:rsidRPr="00000000" w14:paraId="00000018">
      <w:pPr>
        <w:spacing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19">
      <w:pPr>
        <w:pBdr>
          <w:top w:color="000000" w:space="1" w:sz="6" w:val="single"/>
          <w:bottom w:color="000000" w:space="1" w:sz="6" w:val="single"/>
        </w:pBdr>
        <w:spacing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Knowledge Graph Sketch (Hierarchical View)</w:t>
      </w:r>
    </w:p>
    <w:p w:rsidR="00000000" w:rsidDel="00000000" w:rsidP="00000000" w:rsidRDefault="00000000" w:rsidRPr="00000000" w14:paraId="0000001A">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TBD</w:t>
        <w:br w:type="textWrapping"/>
      </w:r>
    </w:p>
    <w:p w:rsidR="00000000" w:rsidDel="00000000" w:rsidP="00000000" w:rsidRDefault="00000000" w:rsidRPr="00000000" w14:paraId="0000001B">
      <w:pPr>
        <w:pBdr>
          <w:top w:color="000000" w:space="1" w:sz="6" w:val="single"/>
          <w:bottom w:color="000000" w:space="1" w:sz="6" w:val="single"/>
        </w:pBdr>
        <w:spacing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Summary Description (for use as a KG node or metadata tag)</w:t>
      </w:r>
    </w:p>
    <w:p w:rsidR="00000000" w:rsidDel="00000000" w:rsidP="00000000" w:rsidRDefault="00000000" w:rsidRPr="00000000" w14:paraId="0000001C">
      <w:pPr>
        <w:spacing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Hairong Song is a researcher in psychological methods and health psychology, focusing on how cultural frameworks and individual health status shape behaviors like HPV vaccination and long-term smoking. Her work bridges methodological innovation with pressing social and health challenges, using rigorous methods like simulation studies and longitudinal analysis to improve how researchers analyze complex data. Song explores unexamined assumptions in cultural psychology and methodological gaps in statistical modeling to provide innovative tools and data-driven insights into complex human dynamics and health behaviors.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E03794"/>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E03794"/>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E03794"/>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03794"/>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E03794"/>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E03794"/>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E03794"/>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E03794"/>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E03794"/>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E03794"/>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E03794"/>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E03794"/>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E03794"/>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E03794"/>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E03794"/>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E03794"/>
    <w:rPr>
      <w:i w:val="1"/>
      <w:iCs w:val="1"/>
      <w:color w:val="404040" w:themeColor="text1" w:themeTint="0000BF"/>
    </w:rPr>
  </w:style>
  <w:style w:type="paragraph" w:styleId="ListParagraph">
    <w:name w:val="List Paragraph"/>
    <w:basedOn w:val="Normal"/>
    <w:uiPriority w:val="34"/>
    <w:qFormat w:val="1"/>
    <w:rsid w:val="00E03794"/>
    <w:pPr>
      <w:ind w:left="720"/>
      <w:contextualSpacing w:val="1"/>
    </w:pPr>
  </w:style>
  <w:style w:type="character" w:styleId="IntenseEmphasis">
    <w:name w:val="Intense Emphasis"/>
    <w:basedOn w:val="DefaultParagraphFont"/>
    <w:uiPriority w:val="21"/>
    <w:qFormat w:val="1"/>
    <w:rsid w:val="00E03794"/>
    <w:rPr>
      <w:i w:val="1"/>
      <w:iCs w:val="1"/>
      <w:color w:val="0f4761" w:themeColor="accent1" w:themeShade="0000BF"/>
    </w:rPr>
  </w:style>
  <w:style w:type="paragraph" w:styleId="IntenseQuote">
    <w:name w:val="Intense Quote"/>
    <w:basedOn w:val="Normal"/>
    <w:next w:val="Normal"/>
    <w:link w:val="IntenseQuoteChar"/>
    <w:uiPriority w:val="30"/>
    <w:qFormat w:val="1"/>
    <w:rsid w:val="00E03794"/>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E03794"/>
    <w:rPr>
      <w:i w:val="1"/>
      <w:iCs w:val="1"/>
      <w:color w:val="0f4761" w:themeColor="accent1" w:themeShade="0000BF"/>
    </w:rPr>
  </w:style>
  <w:style w:type="character" w:styleId="IntenseReference">
    <w:name w:val="Intense Reference"/>
    <w:basedOn w:val="DefaultParagraphFont"/>
    <w:uiPriority w:val="32"/>
    <w:qFormat w:val="1"/>
    <w:rsid w:val="00E03794"/>
    <w:rPr>
      <w:b w:val="1"/>
      <w:bCs w:val="1"/>
      <w:smallCaps w:val="1"/>
      <w:color w:val="0f4761" w:themeColor="accent1" w:themeShade="0000BF"/>
      <w:spacing w:val="5"/>
    </w:rPr>
  </w:style>
  <w:style w:type="paragraph" w:styleId="Header">
    <w:name w:val="header"/>
    <w:basedOn w:val="Normal"/>
    <w:link w:val="HeaderChar"/>
    <w:uiPriority w:val="99"/>
    <w:unhideWhenUsed w:val="1"/>
    <w:rsid w:val="0093175D"/>
    <w:pPr>
      <w:tabs>
        <w:tab w:val="center" w:pos="4680"/>
        <w:tab w:val="right" w:pos="9360"/>
      </w:tabs>
      <w:spacing w:after="0" w:line="240" w:lineRule="auto"/>
    </w:pPr>
  </w:style>
  <w:style w:type="character" w:styleId="HeaderChar" w:customStyle="1">
    <w:name w:val="Header Char"/>
    <w:basedOn w:val="DefaultParagraphFont"/>
    <w:link w:val="Header"/>
    <w:uiPriority w:val="99"/>
    <w:rsid w:val="0093175D"/>
  </w:style>
  <w:style w:type="paragraph" w:styleId="Footer">
    <w:name w:val="footer"/>
    <w:basedOn w:val="Normal"/>
    <w:link w:val="FooterChar"/>
    <w:uiPriority w:val="99"/>
    <w:unhideWhenUsed w:val="1"/>
    <w:rsid w:val="0093175D"/>
    <w:pPr>
      <w:tabs>
        <w:tab w:val="center" w:pos="4680"/>
        <w:tab w:val="right" w:pos="9360"/>
      </w:tabs>
      <w:spacing w:after="0" w:line="240" w:lineRule="auto"/>
    </w:pPr>
  </w:style>
  <w:style w:type="character" w:styleId="FooterChar" w:customStyle="1">
    <w:name w:val="Footer Char"/>
    <w:basedOn w:val="DefaultParagraphFont"/>
    <w:link w:val="Footer"/>
    <w:uiPriority w:val="99"/>
    <w:rsid w:val="0093175D"/>
  </w:style>
  <w:style w:type="table" w:styleId="TableGrid">
    <w:name w:val="Table Grid"/>
    <w:basedOn w:val="TableNormal"/>
    <w:uiPriority w:val="39"/>
    <w:rsid w:val="00BA548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800BF4"/>
    <w:rPr>
      <w:color w:val="467886" w:themeColor="hyperlink"/>
      <w:u w:val="single"/>
    </w:rPr>
  </w:style>
  <w:style w:type="character" w:styleId="UnresolvedMention">
    <w:name w:val="Unresolved Mention"/>
    <w:basedOn w:val="DefaultParagraphFont"/>
    <w:uiPriority w:val="99"/>
    <w:semiHidden w:val="1"/>
    <w:unhideWhenUsed w:val="1"/>
    <w:rsid w:val="00800BF4"/>
    <w:rPr>
      <w:color w:val="605e5c"/>
      <w:shd w:color="auto" w:fill="e1dfdd" w:val="clear"/>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VEkRwFyA4Xwsu/axheSdBwL8zg==">CgMxLjA4AHIhMVQwT05QdnVzMHBTTWE3S1l5YlAxTkV0dW95X0ZKNFNv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2025-07-04T20:30:00Z</dcterms:created>
  <dc:creator>Alex Lee</dc:creator>
</cp:coreProperties>
</file>