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13B09B67">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 </w:t>
      </w:r>
      <w:r w:rsidR="00914275">
        <w:rPr>
          <w:rFonts w:ascii="Consolas" w:hAnsi="Consolas"/>
          <w:sz w:val="22"/>
          <w:szCs w:val="22"/>
        </w:rPr>
        <w:t>Edward T. Cokely</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914275">
        <w:rPr>
          <w:rFonts w:ascii="Consolas" w:hAnsi="Consolas"/>
          <w:sz w:val="22"/>
          <w:szCs w:val="22"/>
        </w:rPr>
        <w:t>Department of Psychology,</w:t>
      </w:r>
      <w:r w:rsidR="00483662">
        <w:rPr>
          <w:rFonts w:ascii="Consolas" w:hAnsi="Consolas"/>
          <w:sz w:val="22"/>
          <w:szCs w:val="22"/>
        </w:rPr>
        <w:t xml:space="preserve"> University of Oklahoma</w:t>
      </w:r>
    </w:p>
    <w:tbl>
      <w:tblPr>
        <w:tblStyle w:val="TableGrid"/>
        <w:tblW w:w="0" w:type="auto"/>
        <w:tblLook w:val="04A0" w:firstRow="1" w:lastRow="0" w:firstColumn="1" w:lastColumn="0" w:noHBand="0" w:noVBand="1"/>
      </w:tblPr>
      <w:tblGrid>
        <w:gridCol w:w="1507"/>
        <w:gridCol w:w="7843"/>
      </w:tblGrid>
      <w:tr w:rsidRPr="00D701D2" w:rsidR="00D701D2" w:rsidTr="00E92DFF" w14:paraId="219AAC8F" w14:textId="77777777">
        <w:tc>
          <w:tcPr>
            <w:tcW w:w="1547" w:type="dxa"/>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00E92DFF" w14:paraId="42FE6F80" w14:textId="77777777">
        <w:tc>
          <w:tcPr>
            <w:tcW w:w="1547" w:type="dxa"/>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hideMark/>
          </w:tcPr>
          <w:p w:rsidRPr="00E92DFF" w:rsidR="00D701D2" w:rsidP="00E92DFF" w:rsidRDefault="00762C5A" w14:paraId="72A1C48E" w14:textId="2B17B6E2">
            <w:pPr>
              <w:rPr>
                <w:rFonts w:ascii="Consolas" w:hAnsi="Consolas"/>
                <w:sz w:val="22"/>
                <w:szCs w:val="22"/>
              </w:rPr>
            </w:pPr>
            <w:r>
              <w:rPr>
                <w:rFonts w:ascii="Consolas" w:hAnsi="Consolas"/>
                <w:sz w:val="22"/>
                <w:szCs w:val="22"/>
              </w:rPr>
              <w:t>-</w:t>
            </w:r>
            <w:r w:rsidR="00B518AC">
              <w:rPr>
                <w:rFonts w:ascii="Consolas" w:hAnsi="Consolas"/>
                <w:sz w:val="22"/>
                <w:szCs w:val="22"/>
              </w:rPr>
              <w:t xml:space="preserve"> Risk Perception- Decision Making- Emotions and Affect- Cognitive Biases- Risk Literacy- Ethics- Numeracy and Knowledge</w:t>
            </w:r>
          </w:p>
        </w:tc>
      </w:tr>
      <w:tr w:rsidRPr="00D701D2" w:rsidR="00D701D2" w:rsidTr="00E92DFF" w14:paraId="2094D271" w14:textId="77777777">
        <w:tc>
          <w:tcPr>
            <w:tcW w:w="1547" w:type="dxa"/>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hideMark/>
          </w:tcPr>
          <w:p w:rsidRPr="00D701D2" w:rsidR="00D701D2" w:rsidP="004561AD" w:rsidRDefault="00D701D2" w14:paraId="5849C198" w14:textId="00BDB66F">
            <w:pPr>
              <w:rPr>
                <w:rFonts w:ascii="Consolas" w:hAnsi="Consolas"/>
                <w:sz w:val="22"/>
                <w:szCs w:val="22"/>
              </w:rPr>
            </w:pPr>
            <w:r w:rsidRPr="00D701D2">
              <w:rPr>
                <w:rFonts w:ascii="Consolas" w:hAnsi="Consolas"/>
                <w:sz w:val="22"/>
                <w:szCs w:val="22"/>
              </w:rPr>
              <w:t xml:space="preserve">- </w:t>
            </w:r>
            <w:r w:rsidR="00B518AC">
              <w:rPr>
                <w:rFonts w:ascii="Consolas" w:hAnsi="Consolas"/>
                <w:sz w:val="22"/>
                <w:szCs w:val="22"/>
              </w:rPr>
              <w:t>Case-Control Studies- Psychometric Instrument Validation- Principal Component Analysis (PCA)- Confirmatory Factor Analysis (CFA)- Structural Equation Modeling (SEM)- ANOVA (Analysis of Variance)- Pearson Correlations- Linear Regression Analysis- Multiple Regression Analysis- Bootstrapping- Cochran’s Q Test- Gilliam’s Autism Rating Scale (GARS)- Social Network Index (SNI)- Kaiser-Meyer-Olkin (KMO)- Barlett’s Test of Sphericity- Likert Scale</w:t>
            </w:r>
          </w:p>
        </w:tc>
      </w:tr>
      <w:tr w:rsidRPr="00D701D2" w:rsidR="00D701D2" w:rsidTr="00E92DFF" w14:paraId="0902E10D" w14:textId="77777777">
        <w:tc>
          <w:tcPr>
            <w:tcW w:w="1547" w:type="dxa"/>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hideMark/>
          </w:tcPr>
          <w:p w:rsidR="00800BF4" w:rsidP="004561AD" w:rsidRDefault="009C5FD8" w14:paraId="0A179ECF" w14:textId="77777777">
            <w:pPr>
              <w:rPr>
                <w:rFonts w:ascii="Consolas" w:hAnsi="Consolas"/>
                <w:sz w:val="22"/>
                <w:szCs w:val="22"/>
              </w:rPr>
            </w:pPr>
            <w:r>
              <w:rPr>
                <w:rFonts w:ascii="Consolas" w:hAnsi="Consolas"/>
                <w:sz w:val="22"/>
                <w:szCs w:val="22"/>
              </w:rPr>
              <w:t xml:space="preserve">- </w:t>
            </w:r>
            <w:r w:rsidR="00B518AC">
              <w:rPr>
                <w:rFonts w:ascii="Consolas" w:hAnsi="Consolas"/>
                <w:sz w:val="22"/>
                <w:szCs w:val="22"/>
              </w:rPr>
              <w:t xml:space="preserve">Public Datasets: </w:t>
            </w:r>
            <w:hyperlink w:history="1" r:id="rId8">
              <w:r w:rsidRPr="00B518AC" w:rsidR="00B518AC">
                <w:rPr>
                  <w:rStyle w:val="Hyperlink"/>
                  <w:rFonts w:ascii="Consolas" w:hAnsi="Consolas"/>
                  <w:sz w:val="22"/>
                  <w:szCs w:val="22"/>
                </w:rPr>
                <w:t>https://osf.i</w:t>
              </w:r>
              <w:r w:rsidRPr="00B518AC" w:rsidR="00B518AC">
                <w:rPr>
                  <w:rStyle w:val="Hyperlink"/>
                  <w:rFonts w:ascii="Consolas" w:hAnsi="Consolas"/>
                  <w:sz w:val="22"/>
                  <w:szCs w:val="22"/>
                </w:rPr>
                <w:t>o</w:t>
              </w:r>
              <w:r w:rsidRPr="00B518AC" w:rsidR="00B518AC">
                <w:rPr>
                  <w:rStyle w:val="Hyperlink"/>
                  <w:rFonts w:ascii="Consolas" w:hAnsi="Consolas"/>
                  <w:sz w:val="22"/>
                  <w:szCs w:val="22"/>
                </w:rPr>
                <w:t>/p6kha/?view_only=bb377b2e36ab4a9abbd83481942bf381</w:t>
              </w:r>
            </w:hyperlink>
            <w:r w:rsidR="00B518AC">
              <w:rPr>
                <w:rFonts w:ascii="Consolas" w:hAnsi="Consolas"/>
                <w:sz w:val="22"/>
                <w:szCs w:val="22"/>
              </w:rPr>
              <w:t xml:space="preserve">, </w:t>
            </w:r>
            <w:hyperlink w:history="1" r:id="rId9">
              <w:r w:rsidRPr="00B518AC" w:rsidR="00B518AC">
                <w:rPr>
                  <w:rStyle w:val="Hyperlink"/>
                  <w:rFonts w:ascii="Consolas" w:hAnsi="Consolas"/>
                  <w:sz w:val="22"/>
                  <w:szCs w:val="22"/>
                </w:rPr>
                <w:t>https://osf.io/p6kha/?view_only=bb377b2e36ab4a9abbd83481942bf381</w:t>
              </w:r>
            </w:hyperlink>
            <w:r w:rsidR="00B518AC">
              <w:rPr>
                <w:rFonts w:ascii="Consolas" w:hAnsi="Consolas"/>
                <w:sz w:val="22"/>
                <w:szCs w:val="22"/>
              </w:rPr>
              <w:t xml:space="preserve">, </w:t>
            </w:r>
            <w:hyperlink w:history="1" r:id="rId10">
              <w:r w:rsidRPr="00B518AC" w:rsidR="00B518AC">
                <w:rPr>
                  <w:rStyle w:val="Hyperlink"/>
                  <w:rFonts w:ascii="Consolas" w:hAnsi="Consolas"/>
                  <w:sz w:val="22"/>
                  <w:szCs w:val="22"/>
                </w:rPr>
                <w:t>https://osf.io/pyj9t/</w:t>
              </w:r>
            </w:hyperlink>
          </w:p>
          <w:p w:rsidR="00B518AC" w:rsidP="004561AD" w:rsidRDefault="00B518AC" w14:paraId="34CBED0E" w14:textId="77777777">
            <w:pPr>
              <w:rPr>
                <w:rFonts w:ascii="Consolas" w:hAnsi="Consolas"/>
                <w:sz w:val="22"/>
                <w:szCs w:val="22"/>
              </w:rPr>
            </w:pPr>
          </w:p>
          <w:p w:rsidRPr="00D701D2" w:rsidR="00B518AC" w:rsidP="004561AD" w:rsidRDefault="00B518AC" w14:paraId="7DF05BE8" w14:textId="5C03C714">
            <w:pPr>
              <w:rPr>
                <w:rFonts w:ascii="Consolas" w:hAnsi="Consolas"/>
                <w:sz w:val="22"/>
                <w:szCs w:val="22"/>
              </w:rPr>
            </w:pPr>
            <w:r>
              <w:rPr>
                <w:rFonts w:ascii="Consolas" w:hAnsi="Consolas"/>
                <w:sz w:val="22"/>
                <w:szCs w:val="22"/>
              </w:rPr>
              <w:t xml:space="preserve">- Platforms: IBM SPSS statistics version 22.0, R statistical environment, PROCESS macro, G*Power calculator, Qualtrics, </w:t>
            </w:r>
            <w:proofErr w:type="spellStart"/>
            <w:r>
              <w:rPr>
                <w:rFonts w:ascii="Consolas" w:hAnsi="Consolas"/>
                <w:sz w:val="22"/>
                <w:szCs w:val="22"/>
              </w:rPr>
              <w:t>KnowledgePanel</w:t>
            </w:r>
            <w:proofErr w:type="spellEnd"/>
            <w:r>
              <w:rPr>
                <w:rFonts w:ascii="Consolas" w:hAnsi="Consolas"/>
                <w:sz w:val="22"/>
                <w:szCs w:val="22"/>
              </w:rPr>
              <w:t xml:space="preserve"> from GfK, Amazon Mechanical Turk, </w:t>
            </w:r>
          </w:p>
        </w:tc>
      </w:tr>
      <w:tr w:rsidRPr="00D701D2" w:rsidR="00D701D2" w:rsidTr="00E92DFF" w14:paraId="2C9CF1B9" w14:textId="77777777">
        <w:tc>
          <w:tcPr>
            <w:tcW w:w="1547" w:type="dxa"/>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hideMark/>
          </w:tcPr>
          <w:p w:rsidRPr="00D701D2" w:rsidR="00D701D2" w:rsidP="004561AD" w:rsidRDefault="009C5FD8" w14:paraId="2C7C0372" w14:textId="67C9346B">
            <w:pPr>
              <w:rPr>
                <w:rFonts w:ascii="Consolas" w:hAnsi="Consolas"/>
                <w:sz w:val="22"/>
                <w:szCs w:val="22"/>
              </w:rPr>
            </w:pPr>
            <w:r>
              <w:rPr>
                <w:rFonts w:ascii="Consolas" w:hAnsi="Consolas"/>
                <w:sz w:val="22"/>
                <w:szCs w:val="22"/>
              </w:rPr>
              <w:t xml:space="preserve">- </w:t>
            </w:r>
            <w:r w:rsidR="00B518AC">
              <w:rPr>
                <w:rFonts w:ascii="Consolas" w:hAnsi="Consolas"/>
                <w:sz w:val="22"/>
                <w:szCs w:val="22"/>
              </w:rPr>
              <w:t>Risk Communication and Perception</w:t>
            </w:r>
            <w:r w:rsidR="0084061B">
              <w:rPr>
                <w:rFonts w:ascii="Consolas" w:hAnsi="Consolas"/>
                <w:sz w:val="22"/>
                <w:szCs w:val="22"/>
              </w:rPr>
              <w:t>-</w:t>
            </w:r>
            <w:r w:rsidR="00B518AC">
              <w:rPr>
                <w:rFonts w:ascii="Consolas" w:hAnsi="Consolas"/>
                <w:sz w:val="22"/>
                <w:szCs w:val="22"/>
              </w:rPr>
              <w:t xml:space="preserve"> </w:t>
            </w:r>
            <w:r w:rsidR="0084061B">
              <w:rPr>
                <w:rFonts w:ascii="Consolas" w:hAnsi="Consolas"/>
                <w:sz w:val="22"/>
                <w:szCs w:val="22"/>
              </w:rPr>
              <w:t>Decision Making- Public Health- Behavioral Economics- Nudge Theory- Risk Literacy- Cognitive Psychology</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2226"/>
        <w:gridCol w:w="7124"/>
      </w:tblGrid>
      <w:tr w:rsidRPr="00D701D2" w:rsidR="00CB2482" w:rsidTr="3CD25D72"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CB2482" w:rsidTr="3CD25D72" w14:paraId="0753C370" w14:textId="77777777">
        <w:tc>
          <w:tcPr>
            <w:tcW w:w="0" w:type="auto"/>
            <w:tcMar/>
          </w:tcPr>
          <w:p w:rsidR="006D7B27" w:rsidP="004561AD" w:rsidRDefault="0084061B" w14:paraId="61F17E2C" w14:textId="132C2976">
            <w:pPr>
              <w:rPr>
                <w:rFonts w:ascii="Consolas" w:hAnsi="Consolas"/>
                <w:sz w:val="22"/>
                <w:szCs w:val="22"/>
              </w:rPr>
            </w:pPr>
            <w:r>
              <w:rPr>
                <w:rFonts w:ascii="Consolas" w:hAnsi="Consolas"/>
                <w:sz w:val="22"/>
                <w:szCs w:val="22"/>
              </w:rPr>
              <w:t>Comparative Analysis</w:t>
            </w:r>
          </w:p>
        </w:tc>
        <w:tc>
          <w:tcPr>
            <w:tcW w:w="0" w:type="auto"/>
            <w:tcMar/>
          </w:tcPr>
          <w:p w:rsidR="004F21F7" w:rsidP="000C1B08" w:rsidRDefault="0084061B" w14:paraId="08823C66" w14:textId="48F5452A">
            <w:pPr>
              <w:rPr>
                <w:rFonts w:ascii="Consolas" w:hAnsi="Consolas"/>
                <w:sz w:val="22"/>
                <w:szCs w:val="22"/>
              </w:rPr>
            </w:pPr>
            <w:r>
              <w:rPr>
                <w:rFonts w:ascii="Consolas" w:hAnsi="Consolas"/>
                <w:sz w:val="22"/>
                <w:szCs w:val="22"/>
              </w:rPr>
              <w:t xml:space="preserve">Systematically examines and </w:t>
            </w:r>
            <w:r w:rsidR="00A155E7">
              <w:rPr>
                <w:rFonts w:ascii="Consolas" w:hAnsi="Consolas"/>
                <w:sz w:val="22"/>
                <w:szCs w:val="22"/>
              </w:rPr>
              <w:t>contrasts</w:t>
            </w:r>
            <w:r>
              <w:rPr>
                <w:rFonts w:ascii="Consolas" w:hAnsi="Consolas"/>
                <w:sz w:val="22"/>
                <w:szCs w:val="22"/>
              </w:rPr>
              <w:t xml:space="preserve"> effects, characteristics, or ethical implications of different variables or groups to determine relative merits and outcomes (e.g., default nudge vs. educational boosts).</w:t>
            </w:r>
          </w:p>
        </w:tc>
      </w:tr>
      <w:tr w:rsidRPr="00D701D2" w:rsidR="00CB2482" w:rsidTr="3CD25D72" w14:paraId="39E55D6E" w14:textId="77777777">
        <w:tc>
          <w:tcPr>
            <w:tcW w:w="0" w:type="auto"/>
            <w:tcMar/>
          </w:tcPr>
          <w:p w:rsidR="004F21F7" w:rsidP="004561AD" w:rsidRDefault="0084061B" w14:paraId="3FD9BBF4" w14:textId="4E405814">
            <w:pPr>
              <w:rPr>
                <w:rFonts w:ascii="Consolas" w:hAnsi="Consolas"/>
                <w:sz w:val="22"/>
                <w:szCs w:val="22"/>
              </w:rPr>
            </w:pPr>
            <w:r>
              <w:rPr>
                <w:rFonts w:ascii="Consolas" w:hAnsi="Consolas"/>
                <w:sz w:val="22"/>
                <w:szCs w:val="22"/>
              </w:rPr>
              <w:t>Focus on “Knowledge is Power”</w:t>
            </w:r>
          </w:p>
        </w:tc>
        <w:tc>
          <w:tcPr>
            <w:tcW w:w="0" w:type="auto"/>
            <w:tcMar/>
          </w:tcPr>
          <w:p w:rsidR="004F21F7" w:rsidP="000C1B08" w:rsidRDefault="00CB2482" w14:paraId="1F0C6758" w14:textId="17C9AF54">
            <w:pPr>
              <w:rPr>
                <w:rFonts w:ascii="Consolas" w:hAnsi="Consolas"/>
                <w:sz w:val="22"/>
                <w:szCs w:val="22"/>
              </w:rPr>
            </w:pPr>
            <w:r>
              <w:rPr>
                <w:rFonts w:ascii="Consolas" w:hAnsi="Consolas"/>
                <w:sz w:val="22"/>
                <w:szCs w:val="22"/>
              </w:rPr>
              <w:t>Heavily pushes that accurate, acquired knowledge is the primary driver for informed and less biased decision-making and judgement (e.g., numeracy leads to more accurate climate change knowledge).</w:t>
            </w:r>
          </w:p>
        </w:tc>
      </w:tr>
      <w:tr w:rsidRPr="00D701D2" w:rsidR="00CB2482" w:rsidTr="3CD25D72" w14:paraId="3F160920" w14:textId="77777777">
        <w:tc>
          <w:tcPr>
            <w:tcW w:w="0" w:type="auto"/>
            <w:tcMar/>
          </w:tcPr>
          <w:p w:rsidR="004F21F7" w:rsidP="004561AD" w:rsidRDefault="0084061B" w14:paraId="32FF0C5F" w14:textId="5877E0B8">
            <w:pPr>
              <w:rPr>
                <w:rFonts w:ascii="Consolas" w:hAnsi="Consolas"/>
                <w:sz w:val="22"/>
                <w:szCs w:val="22"/>
              </w:rPr>
            </w:pPr>
            <w:r>
              <w:rPr>
                <w:rFonts w:ascii="Consolas" w:hAnsi="Consolas"/>
                <w:sz w:val="22"/>
                <w:szCs w:val="22"/>
              </w:rPr>
              <w:t xml:space="preserve">Basic Cognitive Sciences into </w:t>
            </w:r>
            <w:r>
              <w:rPr>
                <w:rFonts w:ascii="Consolas" w:hAnsi="Consolas"/>
                <w:sz w:val="22"/>
                <w:szCs w:val="22"/>
              </w:rPr>
              <w:br/>
            </w:r>
            <w:r>
              <w:rPr>
                <w:rFonts w:ascii="Consolas" w:hAnsi="Consolas"/>
                <w:sz w:val="22"/>
                <w:szCs w:val="22"/>
              </w:rPr>
              <w:t>Applied Problems</w:t>
            </w:r>
          </w:p>
        </w:tc>
        <w:tc>
          <w:tcPr>
            <w:tcW w:w="0" w:type="auto"/>
            <w:tcMar/>
          </w:tcPr>
          <w:p w:rsidR="004F21F7" w:rsidP="000C1B08" w:rsidRDefault="00CB2482" w14:paraId="7D8A5619" w14:textId="1BCABAFF">
            <w:pPr>
              <w:rPr>
                <w:rFonts w:ascii="Consolas" w:hAnsi="Consolas"/>
                <w:sz w:val="22"/>
                <w:szCs w:val="22"/>
              </w:rPr>
            </w:pPr>
            <w:r>
              <w:rPr>
                <w:rFonts w:ascii="Consolas" w:hAnsi="Consolas"/>
                <w:sz w:val="22"/>
                <w:szCs w:val="22"/>
              </w:rPr>
              <w:t>Applies foundational psychological theories and cognitive science principles to understand and address real-world issues (e.g., using Skilled Decision Theory to explain knowledge influences in climate change).</w:t>
            </w:r>
          </w:p>
        </w:tc>
      </w:tr>
      <w:tr w:rsidRPr="00D701D2" w:rsidR="00CB2482" w:rsidTr="3CD25D72" w14:paraId="6F34CA57" w14:textId="77777777">
        <w:tc>
          <w:tcPr>
            <w:tcW w:w="0" w:type="auto"/>
            <w:tcMar/>
          </w:tcPr>
          <w:p w:rsidR="0084061B" w:rsidP="004561AD" w:rsidRDefault="0084061B" w14:paraId="3ED71E03" w14:textId="379FAF58">
            <w:pPr>
              <w:rPr>
                <w:rFonts w:ascii="Consolas" w:hAnsi="Consolas"/>
                <w:sz w:val="22"/>
                <w:szCs w:val="22"/>
              </w:rPr>
            </w:pPr>
            <w:r>
              <w:rPr>
                <w:rFonts w:ascii="Consolas" w:hAnsi="Consolas"/>
                <w:sz w:val="22"/>
                <w:szCs w:val="22"/>
              </w:rPr>
              <w:t>Multifactorial Assessment</w:t>
            </w:r>
          </w:p>
        </w:tc>
        <w:tc>
          <w:tcPr>
            <w:tcW w:w="0" w:type="auto"/>
            <w:tcMar/>
          </w:tcPr>
          <w:p w:rsidR="0084061B" w:rsidP="000C1B08" w:rsidRDefault="00CB2482" w14:paraId="5DA71DF3" w14:textId="0EB0D351">
            <w:pPr>
              <w:rPr>
                <w:rFonts w:ascii="Consolas" w:hAnsi="Consolas"/>
                <w:sz w:val="22"/>
                <w:szCs w:val="22"/>
              </w:rPr>
            </w:pPr>
            <w:r>
              <w:rPr>
                <w:rFonts w:ascii="Consolas" w:hAnsi="Consolas"/>
                <w:sz w:val="22"/>
                <w:szCs w:val="22"/>
              </w:rPr>
              <w:t>Employs comprehensive measurement strategies that consider and analyze multiple interacting factors simultaneously to gain a nuanced understanding of complex phenomena (e.g., investigating family quality of life in ASD by assessing multiple variables).</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CB2482" w:rsidRDefault="00CB2482" w14:paraId="480B2B42" w14:textId="1F254104">
      <w:pPr>
        <w:spacing w:line="240" w:lineRule="auto"/>
        <w:rPr>
          <w:rFonts w:ascii="Consolas" w:hAnsi="Consolas"/>
          <w:sz w:val="22"/>
          <w:szCs w:val="22"/>
        </w:rPr>
      </w:pPr>
      <w:r w:rsidRPr="00CB2482">
        <w:rPr>
          <w:rFonts w:ascii="Consolas" w:hAnsi="Consolas"/>
          <w:sz w:val="22"/>
          <w:szCs w:val="22"/>
        </w:rPr>
        <w:t>Edward T. Cokely is a leading researcher in risk perception and communication, decision making, and risk literacy. His work innovatively bridges basic cognitive science with applied problems, leveraging multifactorial assessments to understand complex phenomena. His research consistently features comparative analysis of interventions and influential factors, and a strong focus on the "knowledge is power" concept in risk literacy, offering data-driven insights into human judgment and behavior in high-stakes situations.</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7635" w:rsidP="0093175D" w:rsidRDefault="00A27635" w14:paraId="47C1E6DE" w14:textId="77777777">
      <w:pPr>
        <w:spacing w:after="0" w:line="240" w:lineRule="auto"/>
      </w:pPr>
      <w:r>
        <w:separator/>
      </w:r>
    </w:p>
  </w:endnote>
  <w:endnote w:type="continuationSeparator" w:id="0">
    <w:p w:rsidR="00A27635" w:rsidP="0093175D" w:rsidRDefault="00A27635" w14:paraId="6C573D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7635" w:rsidP="0093175D" w:rsidRDefault="00A27635" w14:paraId="1E3B5A2A" w14:textId="77777777">
      <w:pPr>
        <w:spacing w:after="0" w:line="240" w:lineRule="auto"/>
      </w:pPr>
      <w:r>
        <w:separator/>
      </w:r>
    </w:p>
  </w:footnote>
  <w:footnote w:type="continuationSeparator" w:id="0">
    <w:p w:rsidR="00A27635" w:rsidP="0093175D" w:rsidRDefault="00A27635" w14:paraId="781C5EF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4"/>
  </w:num>
  <w:num w:numId="2" w16cid:durableId="2019039523">
    <w:abstractNumId w:val="0"/>
  </w:num>
  <w:num w:numId="3" w16cid:durableId="1446267627">
    <w:abstractNumId w:val="2"/>
  </w:num>
  <w:num w:numId="4" w16cid:durableId="976446228">
    <w:abstractNumId w:val="1"/>
  </w:num>
  <w:num w:numId="5" w16cid:durableId="116609575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7402E"/>
    <w:rsid w:val="000C1B08"/>
    <w:rsid w:val="00185871"/>
    <w:rsid w:val="001A71B4"/>
    <w:rsid w:val="001B2E28"/>
    <w:rsid w:val="001F758D"/>
    <w:rsid w:val="00261A17"/>
    <w:rsid w:val="002A3452"/>
    <w:rsid w:val="002D0A42"/>
    <w:rsid w:val="00345128"/>
    <w:rsid w:val="00395D98"/>
    <w:rsid w:val="004603ED"/>
    <w:rsid w:val="00483662"/>
    <w:rsid w:val="004F21F7"/>
    <w:rsid w:val="005820BE"/>
    <w:rsid w:val="0061325C"/>
    <w:rsid w:val="006218A7"/>
    <w:rsid w:val="006244E3"/>
    <w:rsid w:val="006D07A0"/>
    <w:rsid w:val="006D7B27"/>
    <w:rsid w:val="00723C44"/>
    <w:rsid w:val="00762C5A"/>
    <w:rsid w:val="00800BF4"/>
    <w:rsid w:val="0084061B"/>
    <w:rsid w:val="00883234"/>
    <w:rsid w:val="0088556D"/>
    <w:rsid w:val="00893086"/>
    <w:rsid w:val="008E0A92"/>
    <w:rsid w:val="00914275"/>
    <w:rsid w:val="00922891"/>
    <w:rsid w:val="00924D71"/>
    <w:rsid w:val="0093175D"/>
    <w:rsid w:val="009C5FD8"/>
    <w:rsid w:val="009F78C2"/>
    <w:rsid w:val="00A155E7"/>
    <w:rsid w:val="00A27635"/>
    <w:rsid w:val="00A66DCC"/>
    <w:rsid w:val="00AC7D65"/>
    <w:rsid w:val="00B039A4"/>
    <w:rsid w:val="00B152AB"/>
    <w:rsid w:val="00B518AC"/>
    <w:rsid w:val="00B7086C"/>
    <w:rsid w:val="00BA5482"/>
    <w:rsid w:val="00CA448D"/>
    <w:rsid w:val="00CB2482"/>
    <w:rsid w:val="00CC3992"/>
    <w:rsid w:val="00D701D2"/>
    <w:rsid w:val="00D800BD"/>
    <w:rsid w:val="00DA648A"/>
    <w:rsid w:val="00DB7243"/>
    <w:rsid w:val="00E03794"/>
    <w:rsid w:val="00E43614"/>
    <w:rsid w:val="00E5441F"/>
    <w:rsid w:val="00E92DFF"/>
    <w:rsid w:val="00E93EC3"/>
    <w:rsid w:val="00EB188B"/>
    <w:rsid w:val="00ED66F0"/>
    <w:rsid w:val="00F06684"/>
    <w:rsid w:val="3CD2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 w:type="character" w:styleId="FollowedHyperlink">
    <w:name w:val="FollowedHyperlink"/>
    <w:basedOn w:val="DefaultParagraphFont"/>
    <w:uiPriority w:val="99"/>
    <w:semiHidden/>
    <w:unhideWhenUsed/>
    <w:rsid w:val="00B518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sf.io/p6kha/?view_only=bb377b2e36ab4a9abbd83481942bf381"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yperlink" Target="https://osf.io/pyj9t/" TargetMode="External" Id="rId10" /><Relationship Type="http://schemas.openxmlformats.org/officeDocument/2006/relationships/settings" Target="settings.xml" Id="rId4" /><Relationship Type="http://schemas.openxmlformats.org/officeDocument/2006/relationships/hyperlink" Target="https://osf.io/p6kha/?view_only=bb377b2e36ab4a9abbd83481942bf381" TargetMode="Externa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14</revision>
  <dcterms:created xsi:type="dcterms:W3CDTF">2025-07-04T20:30:00.0000000Z</dcterms:created>
  <dcterms:modified xsi:type="dcterms:W3CDTF">2025-07-30T19:50:49.8355742Z</dcterms:modified>
</coreProperties>
</file>