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B7A" w:rsidRPr="00A01BF2" w:rsidRDefault="00630B7A" w:rsidP="005565AF">
      <w:pPr>
        <w:pStyle w:val="Default"/>
        <w:rPr>
          <w:b/>
          <w:bCs/>
        </w:rPr>
      </w:pPr>
      <w:r w:rsidRPr="00A01BF2">
        <w:rPr>
          <w:b/>
          <w:bCs/>
        </w:rPr>
        <w:t>Exercice</w:t>
      </w:r>
      <w:r w:rsidR="005565AF" w:rsidRPr="00A01BF2">
        <w:rPr>
          <w:b/>
          <w:bCs/>
        </w:rPr>
        <w:t xml:space="preserve"> (EMD 2020) </w:t>
      </w:r>
      <w:r w:rsidRPr="00A01BF2">
        <w:rPr>
          <w:b/>
          <w:bCs/>
        </w:rPr>
        <w:t xml:space="preserve">: </w:t>
      </w:r>
    </w:p>
    <w:p w:rsidR="005565AF" w:rsidRPr="00A01BF2" w:rsidRDefault="005565AF" w:rsidP="005565AF">
      <w:pPr>
        <w:pStyle w:val="Default"/>
      </w:pPr>
    </w:p>
    <w:p w:rsidR="00630B7A" w:rsidRPr="00A01BF2" w:rsidRDefault="00630B7A" w:rsidP="005565AF">
      <w:pPr>
        <w:pStyle w:val="Default"/>
        <w:ind w:right="-375"/>
      </w:pPr>
      <w:r w:rsidRPr="00A01BF2">
        <w:t xml:space="preserve">Soit L le langage de premier ordre avec égalité contenant deux symboles de </w:t>
      </w:r>
      <w:r w:rsidRPr="00A01BF2">
        <w:rPr>
          <w:b/>
          <w:bCs/>
        </w:rPr>
        <w:t>constante a et b</w:t>
      </w:r>
      <w:r w:rsidRPr="00A01BF2">
        <w:t xml:space="preserve">, un symbole de </w:t>
      </w:r>
      <w:r w:rsidRPr="00A01BF2">
        <w:rPr>
          <w:b/>
          <w:bCs/>
        </w:rPr>
        <w:t>fonction unaire f</w:t>
      </w:r>
      <w:r w:rsidRPr="00A01BF2">
        <w:t xml:space="preserve">, deux symboles de </w:t>
      </w:r>
      <w:r w:rsidRPr="00A01BF2">
        <w:rPr>
          <w:b/>
          <w:bCs/>
        </w:rPr>
        <w:t xml:space="preserve">prédicat </w:t>
      </w:r>
      <w:proofErr w:type="spellStart"/>
      <w:r w:rsidRPr="00A01BF2">
        <w:rPr>
          <w:b/>
          <w:bCs/>
        </w:rPr>
        <w:t>monaire</w:t>
      </w:r>
      <w:proofErr w:type="spellEnd"/>
      <w:r w:rsidRPr="00A01BF2">
        <w:rPr>
          <w:b/>
          <w:bCs/>
        </w:rPr>
        <w:t xml:space="preserve"> O et C </w:t>
      </w:r>
      <w:r w:rsidRPr="00A01BF2">
        <w:t xml:space="preserve">ainsi qu'un symbole de </w:t>
      </w:r>
      <w:r w:rsidRPr="00A01BF2">
        <w:rPr>
          <w:b/>
          <w:bCs/>
        </w:rPr>
        <w:t>prédicat binaire P</w:t>
      </w:r>
      <w:r w:rsidRPr="00A01BF2">
        <w:t xml:space="preserve">. </w:t>
      </w:r>
    </w:p>
    <w:p w:rsidR="00630B7A" w:rsidRPr="00A01BF2" w:rsidRDefault="00630B7A" w:rsidP="00630B7A">
      <w:pPr>
        <w:pStyle w:val="Default"/>
      </w:pPr>
      <w:r w:rsidRPr="00A01BF2">
        <w:t xml:space="preserve">On définit pour L l’interprétation I suivante de Domaine D = Objets U Couleurs tels que : </w:t>
      </w:r>
    </w:p>
    <w:p w:rsidR="00630B7A" w:rsidRPr="00A01BF2" w:rsidRDefault="00630B7A" w:rsidP="00630B7A">
      <w:pPr>
        <w:pStyle w:val="Default"/>
      </w:pPr>
      <w:r w:rsidRPr="00A01BF2">
        <w:t xml:space="preserve">Objets = {O1, O2, O3, O4, O5, O6, O7} l’ensemble des objets ; </w:t>
      </w:r>
    </w:p>
    <w:p w:rsidR="00630B7A" w:rsidRPr="00A01BF2" w:rsidRDefault="00630B7A" w:rsidP="00630B7A">
      <w:pPr>
        <w:pStyle w:val="Default"/>
      </w:pPr>
      <w:r w:rsidRPr="00A01BF2">
        <w:t xml:space="preserve">Couleurs = {Vert, Bleu, Rouge} l’ensemble des Couleurs ; </w:t>
      </w:r>
    </w:p>
    <w:p w:rsidR="00630B7A" w:rsidRPr="00A01BF2" w:rsidRDefault="00630B7A" w:rsidP="00630B7A">
      <w:pPr>
        <w:pStyle w:val="Default"/>
      </w:pPr>
      <w:r w:rsidRPr="00A01BF2">
        <w:t xml:space="preserve">I(a) = O2 et I(b)=Rouge ; </w:t>
      </w:r>
    </w:p>
    <w:p w:rsidR="00630B7A" w:rsidRPr="00A01BF2" w:rsidRDefault="00630B7A" w:rsidP="00630B7A">
      <w:pPr>
        <w:pStyle w:val="Default"/>
      </w:pPr>
      <w:r w:rsidRPr="00A01BF2">
        <w:t xml:space="preserve">I(f) = ψ avec ψ : Objets </w:t>
      </w:r>
      <w:r w:rsidRPr="00A01BF2">
        <w:rPr>
          <w:rFonts w:ascii="Wingdings" w:hAnsi="Wingdings" w:cs="Wingdings"/>
        </w:rPr>
        <w:t></w:t>
      </w:r>
      <w:r w:rsidRPr="00A01BF2">
        <w:rPr>
          <w:rFonts w:ascii="Wingdings" w:hAnsi="Wingdings" w:cs="Wingdings"/>
        </w:rPr>
        <w:t></w:t>
      </w:r>
      <w:r w:rsidRPr="00A01BF2">
        <w:t xml:space="preserve">Couleurs </w:t>
      </w:r>
    </w:p>
    <w:p w:rsidR="00630B7A" w:rsidRPr="00A01BF2" w:rsidRDefault="00630B7A" w:rsidP="00630B7A">
      <w:pPr>
        <w:pStyle w:val="Default"/>
      </w:pPr>
      <w:r w:rsidRPr="00A01BF2">
        <w:t xml:space="preserve">La fonction ψ associe à chaque objet une couleur suivant la table ci-contre. </w:t>
      </w:r>
    </w:p>
    <w:p w:rsidR="00630B7A" w:rsidRPr="00A01BF2" w:rsidRDefault="00630B7A" w:rsidP="00630B7A">
      <w:pPr>
        <w:pStyle w:val="Default"/>
      </w:pPr>
    </w:p>
    <w:tbl>
      <w:tblPr>
        <w:tblStyle w:val="Grilledutableau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225"/>
      </w:tblGrid>
      <w:tr w:rsidR="005565AF" w:rsidRPr="00A01BF2" w:rsidTr="005565AF">
        <w:tc>
          <w:tcPr>
            <w:tcW w:w="4698" w:type="dxa"/>
          </w:tcPr>
          <w:p w:rsidR="005565AF" w:rsidRPr="00A01BF2" w:rsidRDefault="005565AF" w:rsidP="005565AF">
            <w:pPr>
              <w:pStyle w:val="Default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79"/>
              <w:gridCol w:w="1276"/>
            </w:tblGrid>
            <w:tr w:rsidR="005565AF" w:rsidRPr="00A01BF2" w:rsidTr="00845218">
              <w:trPr>
                <w:trHeight w:val="214"/>
              </w:trPr>
              <w:tc>
                <w:tcPr>
                  <w:tcW w:w="1379" w:type="dxa"/>
                </w:tcPr>
                <w:p w:rsidR="005565AF" w:rsidRPr="00A01BF2" w:rsidRDefault="005565AF" w:rsidP="005565AF">
                  <w:pPr>
                    <w:pStyle w:val="Default"/>
                  </w:pPr>
                  <w:r w:rsidRPr="00A01BF2">
                    <w:rPr>
                      <w:b/>
                      <w:bCs/>
                    </w:rPr>
                    <w:t xml:space="preserve">Objets </w:t>
                  </w:r>
                </w:p>
              </w:tc>
              <w:tc>
                <w:tcPr>
                  <w:tcW w:w="1276" w:type="dxa"/>
                </w:tcPr>
                <w:p w:rsidR="005565AF" w:rsidRPr="00A01BF2" w:rsidRDefault="005565AF" w:rsidP="005565AF">
                  <w:pPr>
                    <w:pStyle w:val="Default"/>
                  </w:pPr>
                  <w:r w:rsidRPr="00A01BF2">
                    <w:rPr>
                      <w:b/>
                      <w:bCs/>
                    </w:rPr>
                    <w:t xml:space="preserve">Couleur </w:t>
                  </w:r>
                </w:p>
              </w:tc>
            </w:tr>
            <w:tr w:rsidR="005565AF" w:rsidRPr="00A01BF2" w:rsidTr="00845218">
              <w:trPr>
                <w:trHeight w:val="218"/>
              </w:trPr>
              <w:tc>
                <w:tcPr>
                  <w:tcW w:w="1379" w:type="dxa"/>
                </w:tcPr>
                <w:p w:rsidR="005565AF" w:rsidRPr="00A01BF2" w:rsidRDefault="005565AF" w:rsidP="005565AF">
                  <w:pPr>
                    <w:pStyle w:val="Default"/>
                  </w:pPr>
                  <w:r w:rsidRPr="00A01BF2">
                    <w:t xml:space="preserve">O1, O6 </w:t>
                  </w:r>
                </w:p>
              </w:tc>
              <w:tc>
                <w:tcPr>
                  <w:tcW w:w="1276" w:type="dxa"/>
                </w:tcPr>
                <w:p w:rsidR="005565AF" w:rsidRPr="00A01BF2" w:rsidRDefault="005565AF" w:rsidP="005565AF">
                  <w:pPr>
                    <w:pStyle w:val="Default"/>
                  </w:pPr>
                  <w:r w:rsidRPr="00A01BF2">
                    <w:t xml:space="preserve">Vert </w:t>
                  </w:r>
                </w:p>
              </w:tc>
            </w:tr>
            <w:tr w:rsidR="005565AF" w:rsidRPr="00A01BF2" w:rsidTr="00845218">
              <w:trPr>
                <w:trHeight w:val="218"/>
              </w:trPr>
              <w:tc>
                <w:tcPr>
                  <w:tcW w:w="1379" w:type="dxa"/>
                </w:tcPr>
                <w:p w:rsidR="005565AF" w:rsidRPr="00A01BF2" w:rsidRDefault="005565AF" w:rsidP="005565AF">
                  <w:pPr>
                    <w:pStyle w:val="Default"/>
                  </w:pPr>
                  <w:r w:rsidRPr="00A01BF2">
                    <w:t xml:space="preserve">O3, O4, O7 </w:t>
                  </w:r>
                </w:p>
              </w:tc>
              <w:tc>
                <w:tcPr>
                  <w:tcW w:w="1276" w:type="dxa"/>
                </w:tcPr>
                <w:p w:rsidR="005565AF" w:rsidRPr="00A01BF2" w:rsidRDefault="005565AF" w:rsidP="005565AF">
                  <w:pPr>
                    <w:pStyle w:val="Default"/>
                  </w:pPr>
                  <w:r w:rsidRPr="00A01BF2">
                    <w:t xml:space="preserve">Bleu </w:t>
                  </w:r>
                </w:p>
              </w:tc>
            </w:tr>
            <w:tr w:rsidR="005565AF" w:rsidRPr="00A01BF2" w:rsidTr="00845218">
              <w:trPr>
                <w:trHeight w:val="218"/>
              </w:trPr>
              <w:tc>
                <w:tcPr>
                  <w:tcW w:w="1379" w:type="dxa"/>
                </w:tcPr>
                <w:p w:rsidR="005565AF" w:rsidRPr="00A01BF2" w:rsidRDefault="005565AF" w:rsidP="005565AF">
                  <w:pPr>
                    <w:pStyle w:val="Default"/>
                  </w:pPr>
                  <w:r w:rsidRPr="00A01BF2">
                    <w:t xml:space="preserve">O2, O5 </w:t>
                  </w:r>
                </w:p>
              </w:tc>
              <w:tc>
                <w:tcPr>
                  <w:tcW w:w="1276" w:type="dxa"/>
                </w:tcPr>
                <w:p w:rsidR="005565AF" w:rsidRPr="00A01BF2" w:rsidRDefault="005565AF" w:rsidP="005565AF">
                  <w:pPr>
                    <w:pStyle w:val="Default"/>
                  </w:pPr>
                  <w:r w:rsidRPr="00A01BF2">
                    <w:t xml:space="preserve">Rouge </w:t>
                  </w:r>
                </w:p>
              </w:tc>
            </w:tr>
          </w:tbl>
          <w:p w:rsidR="005565AF" w:rsidRPr="00A01BF2" w:rsidRDefault="005565AF" w:rsidP="005565AF">
            <w:pPr>
              <w:pStyle w:val="Default"/>
            </w:pPr>
          </w:p>
          <w:p w:rsidR="005565AF" w:rsidRPr="00A01BF2" w:rsidRDefault="005565AF" w:rsidP="005565AF">
            <w:pPr>
              <w:pStyle w:val="Default"/>
            </w:pPr>
          </w:p>
          <w:p w:rsidR="005565AF" w:rsidRPr="00A01BF2" w:rsidRDefault="005565AF" w:rsidP="005565AF">
            <w:pPr>
              <w:pStyle w:val="Default"/>
            </w:pPr>
            <w:r w:rsidRPr="00A01BF2">
              <w:t xml:space="preserve">I(O) désigne la relation « est un objet », </w:t>
            </w:r>
          </w:p>
          <w:p w:rsidR="005565AF" w:rsidRPr="00A01BF2" w:rsidRDefault="005565AF" w:rsidP="005565AF">
            <w:pPr>
              <w:pStyle w:val="Default"/>
            </w:pPr>
            <w:r w:rsidRPr="00A01BF2">
              <w:t>I(C) désigne la relation « est une couleur »</w:t>
            </w:r>
          </w:p>
          <w:p w:rsidR="005565AF" w:rsidRPr="00A01BF2" w:rsidRDefault="005565AF" w:rsidP="005565AF">
            <w:pPr>
              <w:pStyle w:val="Default"/>
            </w:pPr>
            <w:proofErr w:type="gramStart"/>
            <w:r w:rsidRPr="00A01BF2">
              <w:t>et</w:t>
            </w:r>
            <w:proofErr w:type="gramEnd"/>
            <w:r w:rsidRPr="00A01BF2">
              <w:t xml:space="preserve"> I(P) désigne la relation « est posé sur». </w:t>
            </w:r>
          </w:p>
          <w:p w:rsidR="005565AF" w:rsidRPr="00A01BF2" w:rsidRDefault="005565AF" w:rsidP="005565AF">
            <w:pPr>
              <w:pStyle w:val="Default"/>
            </w:pPr>
          </w:p>
        </w:tc>
        <w:tc>
          <w:tcPr>
            <w:tcW w:w="5225" w:type="dxa"/>
          </w:tcPr>
          <w:p w:rsidR="005565AF" w:rsidRPr="00A01BF2" w:rsidRDefault="005565AF" w:rsidP="00630B7A">
            <w:pPr>
              <w:pStyle w:val="Default"/>
            </w:pPr>
            <w:r w:rsidRPr="00A01BF2">
              <w:object w:dxaOrig="6225" w:dyaOrig="41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5pt;height:134.2pt" o:ole="">
                  <v:imagedata r:id="rId5" o:title=""/>
                </v:shape>
                <o:OLEObject Type="Embed" ProgID="PBrush" ShapeID="_x0000_i1025" DrawAspect="Content" ObjectID="_1763745145" r:id="rId6"/>
              </w:object>
            </w:r>
          </w:p>
        </w:tc>
      </w:tr>
    </w:tbl>
    <w:p w:rsidR="005565AF" w:rsidRPr="00A01BF2" w:rsidRDefault="005565AF" w:rsidP="00630B7A">
      <w:pPr>
        <w:pStyle w:val="Default"/>
      </w:pPr>
    </w:p>
    <w:p w:rsidR="005565AF" w:rsidRPr="00A01BF2" w:rsidRDefault="00630B7A" w:rsidP="005565AF">
      <w:pPr>
        <w:pStyle w:val="Default"/>
        <w:numPr>
          <w:ilvl w:val="0"/>
          <w:numId w:val="1"/>
        </w:numPr>
        <w:ind w:left="426"/>
      </w:pPr>
      <w:r w:rsidRPr="00A01BF2">
        <w:t xml:space="preserve">Conformément à la figure 1 ci-dessous, donner la relation I(P) sous sa forme explicite </w:t>
      </w:r>
    </w:p>
    <w:p w:rsidR="00630B7A" w:rsidRPr="00A01BF2" w:rsidRDefault="00630B7A" w:rsidP="005565AF">
      <w:pPr>
        <w:pStyle w:val="Default"/>
        <w:ind w:left="720"/>
      </w:pPr>
      <w:r w:rsidRPr="00A01BF2">
        <w:t>I(P)=</w:t>
      </w:r>
      <w:r w:rsidR="005565AF" w:rsidRPr="00A01BF2">
        <w:t xml:space="preserve"> </w:t>
      </w:r>
      <w:r w:rsidRPr="00A01BF2">
        <w:t>{(</w:t>
      </w:r>
      <w:proofErr w:type="spellStart"/>
      <w:r w:rsidRPr="00A01BF2">
        <w:t>Oi</w:t>
      </w:r>
      <w:proofErr w:type="spellEnd"/>
      <w:r w:rsidRPr="00A01BF2">
        <w:t>,</w:t>
      </w:r>
      <w:r w:rsidR="005565AF" w:rsidRPr="00A01BF2">
        <w:t xml:space="preserve"> </w:t>
      </w:r>
      <w:proofErr w:type="spellStart"/>
      <w:r w:rsidRPr="00A01BF2">
        <w:t>Oj</w:t>
      </w:r>
      <w:proofErr w:type="spellEnd"/>
      <w:r w:rsidRPr="00A01BF2">
        <w:t>)</w:t>
      </w:r>
      <w:r w:rsidR="005565AF" w:rsidRPr="00A01BF2">
        <w:t xml:space="preserve"> </w:t>
      </w:r>
      <w:r w:rsidRPr="00A01BF2">
        <w:t>/</w:t>
      </w:r>
      <w:r w:rsidR="005565AF" w:rsidRPr="00A01BF2">
        <w:t xml:space="preserve"> </w:t>
      </w:r>
      <w:proofErr w:type="spellStart"/>
      <w:r w:rsidRPr="00A01BF2">
        <w:t>Oi</w:t>
      </w:r>
      <w:proofErr w:type="spellEnd"/>
      <w:r w:rsidRPr="00A01BF2">
        <w:t xml:space="preserve"> est posé sur </w:t>
      </w:r>
      <w:proofErr w:type="spellStart"/>
      <w:r w:rsidRPr="00A01BF2">
        <w:t>Oj</w:t>
      </w:r>
      <w:proofErr w:type="spellEnd"/>
      <w:r w:rsidRPr="00A01BF2">
        <w:t xml:space="preserve">} </w:t>
      </w:r>
    </w:p>
    <w:p w:rsidR="00630B7A" w:rsidRPr="00A01BF2" w:rsidRDefault="00630B7A" w:rsidP="00630B7A">
      <w:pPr>
        <w:pStyle w:val="Default"/>
      </w:pPr>
    </w:p>
    <w:p w:rsidR="00630B7A" w:rsidRPr="00A01BF2" w:rsidRDefault="00630B7A" w:rsidP="005565AF">
      <w:pPr>
        <w:pStyle w:val="Default"/>
        <w:numPr>
          <w:ilvl w:val="0"/>
          <w:numId w:val="1"/>
        </w:numPr>
        <w:ind w:left="426"/>
      </w:pPr>
      <w:r w:rsidRPr="00A01BF2">
        <w:t>Modéliser les énoncés suivants dans le langage L (en tenant compte de l’interprétation I</w:t>
      </w:r>
      <w:proofErr w:type="gramStart"/>
      <w:r w:rsidRPr="00A01BF2">
        <w:t>):</w:t>
      </w:r>
      <w:proofErr w:type="gramEnd"/>
      <w:r w:rsidRPr="00A01BF2">
        <w:t xml:space="preserve"> </w:t>
      </w:r>
    </w:p>
    <w:p w:rsidR="00630B7A" w:rsidRPr="00A01BF2" w:rsidRDefault="00630B7A" w:rsidP="00630B7A">
      <w:pPr>
        <w:pStyle w:val="Default"/>
      </w:pPr>
    </w:p>
    <w:p w:rsidR="00630B7A" w:rsidRPr="00A01BF2" w:rsidRDefault="00630B7A" w:rsidP="005565AF">
      <w:pPr>
        <w:pStyle w:val="Default"/>
        <w:ind w:left="426"/>
      </w:pPr>
      <w:r w:rsidRPr="00A01BF2">
        <w:rPr>
          <w:b/>
          <w:bCs/>
        </w:rPr>
        <w:t xml:space="preserve">a) </w:t>
      </w:r>
      <w:r w:rsidRPr="00A01BF2">
        <w:t xml:space="preserve">L’objet O2 n’est pas de couleur rouge ; </w:t>
      </w:r>
    </w:p>
    <w:p w:rsidR="00630B7A" w:rsidRPr="00A01BF2" w:rsidRDefault="00630B7A" w:rsidP="005565AF">
      <w:pPr>
        <w:pStyle w:val="Default"/>
        <w:ind w:left="426"/>
      </w:pPr>
    </w:p>
    <w:p w:rsidR="00630B7A" w:rsidRPr="00A01BF2" w:rsidRDefault="00630B7A" w:rsidP="005565AF">
      <w:pPr>
        <w:pStyle w:val="Default"/>
        <w:ind w:left="426"/>
      </w:pPr>
      <w:r w:rsidRPr="00A01BF2">
        <w:rPr>
          <w:b/>
          <w:bCs/>
        </w:rPr>
        <w:t xml:space="preserve">b) </w:t>
      </w:r>
      <w:r w:rsidRPr="00A01BF2">
        <w:t xml:space="preserve">Certains objets sont de couleur rouge ; </w:t>
      </w:r>
    </w:p>
    <w:p w:rsidR="00630B7A" w:rsidRPr="00A01BF2" w:rsidRDefault="00630B7A" w:rsidP="005565AF">
      <w:pPr>
        <w:pStyle w:val="Default"/>
        <w:ind w:left="426"/>
      </w:pPr>
    </w:p>
    <w:p w:rsidR="00630B7A" w:rsidRPr="00A01BF2" w:rsidRDefault="00630B7A" w:rsidP="005565AF">
      <w:pPr>
        <w:pStyle w:val="Default"/>
        <w:ind w:left="426"/>
      </w:pPr>
      <w:r w:rsidRPr="00A01BF2">
        <w:rPr>
          <w:b/>
          <w:bCs/>
        </w:rPr>
        <w:t xml:space="preserve">c) </w:t>
      </w:r>
      <w:r w:rsidRPr="00A01BF2">
        <w:t xml:space="preserve">Aucun objet n’est posé sur des objets de couleur rouge. </w:t>
      </w:r>
    </w:p>
    <w:p w:rsidR="00630B7A" w:rsidRPr="00A01BF2" w:rsidRDefault="00630B7A" w:rsidP="00630B7A">
      <w:pPr>
        <w:pStyle w:val="Default"/>
      </w:pPr>
    </w:p>
    <w:p w:rsidR="00630B7A" w:rsidRPr="00A01BF2" w:rsidRDefault="00630B7A" w:rsidP="00172B11">
      <w:pPr>
        <w:pStyle w:val="Default"/>
        <w:numPr>
          <w:ilvl w:val="0"/>
          <w:numId w:val="1"/>
        </w:numPr>
        <w:ind w:left="426"/>
        <w:rPr>
          <w:rFonts w:eastAsia="MS Gothic"/>
        </w:rPr>
      </w:pPr>
      <w:r w:rsidRPr="00A01BF2">
        <w:rPr>
          <w:rFonts w:eastAsia="MS Gothic"/>
        </w:rPr>
        <w:t>Montrer la déduction suivante</w:t>
      </w:r>
      <w:r w:rsidR="005565AF" w:rsidRPr="00A01BF2">
        <w:rPr>
          <w:rFonts w:eastAsia="MS Gothic"/>
        </w:rPr>
        <w:t xml:space="preserve"> </w:t>
      </w:r>
      <w:r w:rsidRPr="00A01BF2">
        <w:rPr>
          <w:rFonts w:eastAsia="MS Gothic"/>
        </w:rPr>
        <w:t>dans le langage</w:t>
      </w:r>
      <w:r w:rsidR="00172B11" w:rsidRPr="00A01BF2">
        <w:rPr>
          <w:rFonts w:eastAsia="MS Gothic"/>
        </w:rPr>
        <w:t xml:space="preserve"> </w:t>
      </w:r>
      <w:proofErr w:type="spellStart"/>
      <w:r w:rsidRPr="00A01BF2">
        <w:rPr>
          <w:rFonts w:eastAsia="MS Gothic"/>
        </w:rPr>
        <w:t>Lp</w:t>
      </w:r>
      <w:proofErr w:type="spellEnd"/>
      <w:r w:rsidR="00172B11" w:rsidRPr="00A01BF2">
        <w:rPr>
          <w:rFonts w:eastAsia="MS Gothic"/>
        </w:rPr>
        <w:t xml:space="preserve"> </w:t>
      </w:r>
      <w:r w:rsidRPr="00A01BF2">
        <w:rPr>
          <w:rFonts w:eastAsia="MS Gothic"/>
        </w:rPr>
        <w:t>(</w:t>
      </w:r>
      <w:r w:rsidR="00172B11" w:rsidRPr="00A01BF2">
        <w:rPr>
          <w:rFonts w:eastAsia="MS Gothic"/>
        </w:rPr>
        <w:t>┐</w:t>
      </w:r>
      <w:r w:rsidRPr="00A01BF2">
        <w:rPr>
          <w:rFonts w:eastAsia="MS Gothic"/>
        </w:rPr>
        <w:t xml:space="preserve">, </w:t>
      </w:r>
      <w:r w:rsidR="00172B11" w:rsidRPr="00A01BF2">
        <w:rPr>
          <w:rFonts w:eastAsia="MS Gothic"/>
        </w:rPr>
        <w:sym w:font="Symbol" w:char="F0D9"/>
      </w:r>
      <w:r w:rsidR="00172B11" w:rsidRPr="00A01BF2">
        <w:rPr>
          <w:rFonts w:eastAsia="MS Gothic"/>
        </w:rPr>
        <w:t xml:space="preserve"> , </w:t>
      </w:r>
      <w:r w:rsidR="00172B11" w:rsidRPr="00A01BF2">
        <w:rPr>
          <w:b/>
          <w:bCs/>
        </w:rPr>
        <w:sym w:font="Symbol" w:char="F022"/>
      </w:r>
      <w:r w:rsidRPr="00A01BF2">
        <w:rPr>
          <w:rFonts w:eastAsia="MS Gothic"/>
        </w:rPr>
        <w:t>):</w:t>
      </w:r>
    </w:p>
    <w:p w:rsidR="00630B7A" w:rsidRPr="00A01BF2" w:rsidRDefault="00630B7A" w:rsidP="00630B7A">
      <w:pPr>
        <w:pStyle w:val="Default"/>
        <w:rPr>
          <w:rFonts w:eastAsia="MS Gothic"/>
        </w:rPr>
      </w:pPr>
    </w:p>
    <w:p w:rsidR="00172B11" w:rsidRPr="00A01BF2" w:rsidRDefault="00630B7A" w:rsidP="00172B11">
      <w:pPr>
        <w:pStyle w:val="Default"/>
        <w:jc w:val="center"/>
        <w:rPr>
          <w:rFonts w:ascii="Calibri" w:eastAsia="MS Gothic" w:hAnsi="Calibri" w:cs="Calibri"/>
        </w:rPr>
      </w:pPr>
      <w:r w:rsidRPr="00A01BF2">
        <w:rPr>
          <w:rFonts w:ascii="Arial" w:eastAsia="MS Gothic" w:hAnsi="Arial" w:cs="Arial"/>
        </w:rPr>
        <w:t>├</w:t>
      </w:r>
      <w:r w:rsidR="00172B11" w:rsidRPr="00A01BF2">
        <w:rPr>
          <w:rFonts w:ascii="Arial" w:eastAsia="MS Gothic" w:hAnsi="Arial" w:cs="Arial"/>
        </w:rPr>
        <w:t xml:space="preserve">    </w:t>
      </w:r>
      <w:r w:rsidR="00172B11" w:rsidRPr="00A01BF2">
        <w:rPr>
          <w:rFonts w:eastAsia="MS Gothic"/>
        </w:rPr>
        <w:t>┐</w:t>
      </w:r>
      <w:r w:rsidR="00172B11" w:rsidRPr="00A01BF2">
        <w:rPr>
          <w:rFonts w:eastAsia="MS Gothic"/>
          <w:b/>
          <w:bCs/>
        </w:rPr>
        <w:t>(</w:t>
      </w:r>
      <w:r w:rsidR="00172B11" w:rsidRPr="00A01BF2">
        <w:rPr>
          <w:b/>
          <w:bCs/>
        </w:rPr>
        <w:sym w:font="Symbol" w:char="F024"/>
      </w:r>
      <w:r w:rsidR="00172B11" w:rsidRPr="00A01BF2">
        <w:rPr>
          <w:rFonts w:eastAsia="MS Gothic"/>
        </w:rPr>
        <w:t xml:space="preserve">x </w:t>
      </w:r>
      <w:r w:rsidR="00172B11" w:rsidRPr="00A01BF2">
        <w:rPr>
          <w:b/>
          <w:bCs/>
        </w:rPr>
        <w:sym w:font="Symbol" w:char="F022"/>
      </w:r>
      <w:r w:rsidR="00172B11" w:rsidRPr="00A01BF2">
        <w:rPr>
          <w:rFonts w:eastAsia="MS Gothic"/>
        </w:rPr>
        <w:t xml:space="preserve">y P(x, y) </w:t>
      </w:r>
      <w:r w:rsidR="00172B11" w:rsidRPr="00A01BF2">
        <w:rPr>
          <w:rFonts w:eastAsia="MS Gothic"/>
        </w:rPr>
        <w:sym w:font="Symbol" w:char="F0D9"/>
      </w:r>
      <w:r w:rsidR="00172B11" w:rsidRPr="00A01BF2">
        <w:rPr>
          <w:rFonts w:eastAsia="MS Gothic"/>
        </w:rPr>
        <w:t xml:space="preserve"> ┐(</w:t>
      </w:r>
      <w:r w:rsidR="00172B11" w:rsidRPr="00A01BF2">
        <w:rPr>
          <w:b/>
          <w:bCs/>
        </w:rPr>
        <w:sym w:font="Symbol" w:char="F022"/>
      </w:r>
      <w:r w:rsidR="00172B11" w:rsidRPr="00A01BF2">
        <w:rPr>
          <w:rFonts w:eastAsia="MS Gothic"/>
        </w:rPr>
        <w:t>y</w:t>
      </w:r>
      <w:r w:rsidR="000A181A" w:rsidRPr="00A01BF2">
        <w:rPr>
          <w:rFonts w:eastAsia="MS Gothic"/>
        </w:rPr>
        <w:t xml:space="preserve"> </w:t>
      </w:r>
      <w:r w:rsidR="00172B11" w:rsidRPr="00A01BF2">
        <w:rPr>
          <w:b/>
          <w:bCs/>
        </w:rPr>
        <w:sym w:font="Symbol" w:char="F024"/>
      </w:r>
      <w:r w:rsidR="00172B11" w:rsidRPr="00A01BF2">
        <w:rPr>
          <w:rFonts w:eastAsia="MS Gothic"/>
        </w:rPr>
        <w:t>x P(x, y</w:t>
      </w:r>
      <w:r w:rsidR="00172B11" w:rsidRPr="00A01BF2">
        <w:rPr>
          <w:rFonts w:ascii="Calibri" w:eastAsia="MS Gothic" w:hAnsi="Calibri" w:cs="Calibri"/>
        </w:rPr>
        <w:t>)))</w:t>
      </w:r>
    </w:p>
    <w:p w:rsidR="00630B7A" w:rsidRPr="00A01BF2" w:rsidRDefault="00630B7A" w:rsidP="00172B11">
      <w:pPr>
        <w:pStyle w:val="Default"/>
        <w:rPr>
          <w:rFonts w:ascii="Calibri" w:eastAsia="MS Gothic" w:hAnsi="Calibri" w:cs="Calibri"/>
        </w:rPr>
      </w:pPr>
    </w:p>
    <w:p w:rsidR="00630B7A" w:rsidRPr="00A01BF2" w:rsidRDefault="00630B7A" w:rsidP="005565AF">
      <w:pPr>
        <w:pStyle w:val="Default"/>
        <w:numPr>
          <w:ilvl w:val="0"/>
          <w:numId w:val="1"/>
        </w:numPr>
        <w:ind w:left="426"/>
        <w:rPr>
          <w:rFonts w:eastAsia="MS Gothic"/>
        </w:rPr>
      </w:pPr>
      <w:r w:rsidRPr="00A01BF2">
        <w:rPr>
          <w:rFonts w:eastAsia="MS Gothic"/>
        </w:rPr>
        <w:t>Pour l’interprétation I, étudier la satisfiabilité et/ou la validité des formules ci-dessous</w:t>
      </w:r>
      <w:r w:rsidR="00172B11" w:rsidRPr="00A01BF2">
        <w:rPr>
          <w:rFonts w:eastAsia="MS Gothic"/>
        </w:rPr>
        <w:t xml:space="preserve"> </w:t>
      </w:r>
      <w:r w:rsidRPr="00A01BF2">
        <w:rPr>
          <w:rFonts w:eastAsia="MS Gothic"/>
        </w:rPr>
        <w:t xml:space="preserve">: </w:t>
      </w:r>
    </w:p>
    <w:p w:rsidR="00630B7A" w:rsidRPr="00A01BF2" w:rsidRDefault="00630B7A" w:rsidP="00630B7A">
      <w:pPr>
        <w:pStyle w:val="Default"/>
        <w:rPr>
          <w:rFonts w:eastAsia="MS Gothic"/>
        </w:rPr>
      </w:pPr>
      <w:bookmarkStart w:id="0" w:name="_GoBack"/>
      <w:bookmarkEnd w:id="0"/>
    </w:p>
    <w:p w:rsidR="00630B7A" w:rsidRPr="00A01BF2" w:rsidRDefault="00630B7A" w:rsidP="00172B11">
      <w:pPr>
        <w:pStyle w:val="Default"/>
        <w:ind w:left="426"/>
        <w:rPr>
          <w:rFonts w:eastAsia="MS Gothic"/>
        </w:rPr>
      </w:pPr>
      <w:r w:rsidRPr="00A01BF2">
        <w:rPr>
          <w:rFonts w:eastAsia="MS Gothic"/>
          <w:b/>
          <w:bCs/>
        </w:rPr>
        <w:t xml:space="preserve">a) </w:t>
      </w:r>
      <w:r w:rsidR="00FB3A43" w:rsidRPr="00A01BF2">
        <w:rPr>
          <w:b/>
          <w:bCs/>
        </w:rPr>
        <w:sym w:font="Symbol" w:char="F024"/>
      </w:r>
      <w:r w:rsidR="00172B11" w:rsidRPr="00A01BF2">
        <w:rPr>
          <w:rFonts w:eastAsia="MS Gothic"/>
        </w:rPr>
        <w:t>x (</w:t>
      </w:r>
      <w:r w:rsidRPr="00A01BF2">
        <w:rPr>
          <w:rFonts w:eastAsia="MS Gothic"/>
        </w:rPr>
        <w:t xml:space="preserve">O(x) </w:t>
      </w:r>
      <w:r w:rsidR="00FB3A43" w:rsidRPr="00A01BF2">
        <w:rPr>
          <w:rFonts w:eastAsia="MS Gothic"/>
        </w:rPr>
        <w:sym w:font="Symbol" w:char="F0D9"/>
      </w:r>
      <w:r w:rsidR="00FB3A43" w:rsidRPr="00A01BF2">
        <w:rPr>
          <w:rFonts w:eastAsia="MS Gothic"/>
        </w:rPr>
        <w:t xml:space="preserve"> </w:t>
      </w:r>
      <w:r w:rsidR="00172B11" w:rsidRPr="00A01BF2">
        <w:rPr>
          <w:rFonts w:eastAsia="MS Gothic"/>
        </w:rPr>
        <w:t>┐</w:t>
      </w:r>
      <w:r w:rsidR="00FB3A43" w:rsidRPr="00A01BF2">
        <w:rPr>
          <w:rFonts w:eastAsia="MS Gothic"/>
        </w:rPr>
        <w:t xml:space="preserve">x=a </w:t>
      </w:r>
      <w:r w:rsidR="00172B11" w:rsidRPr="00A01BF2">
        <w:rPr>
          <w:rFonts w:eastAsia="MS Gothic"/>
        </w:rPr>
        <w:sym w:font="Symbol" w:char="F0D9"/>
      </w:r>
      <w:r w:rsidR="00172B11" w:rsidRPr="00A01BF2">
        <w:rPr>
          <w:rFonts w:eastAsia="MS Gothic"/>
        </w:rPr>
        <w:t xml:space="preserve"> f(x)=f(a))</w:t>
      </w:r>
    </w:p>
    <w:p w:rsidR="00630B7A" w:rsidRPr="00A01BF2" w:rsidRDefault="00630B7A" w:rsidP="00172B11">
      <w:pPr>
        <w:pStyle w:val="Default"/>
        <w:ind w:left="426"/>
        <w:rPr>
          <w:rFonts w:eastAsia="MS Gothic"/>
        </w:rPr>
      </w:pPr>
    </w:p>
    <w:p w:rsidR="00630B7A" w:rsidRPr="00A01BF2" w:rsidRDefault="00630B7A" w:rsidP="00172B11">
      <w:pPr>
        <w:pStyle w:val="Default"/>
        <w:ind w:left="426"/>
        <w:rPr>
          <w:rFonts w:eastAsia="MS Gothic"/>
        </w:rPr>
      </w:pPr>
      <w:r w:rsidRPr="00A01BF2">
        <w:rPr>
          <w:rFonts w:eastAsia="MS Gothic"/>
          <w:b/>
          <w:bCs/>
        </w:rPr>
        <w:t xml:space="preserve">b) </w:t>
      </w:r>
      <w:r w:rsidR="00172B11" w:rsidRPr="00A01BF2">
        <w:rPr>
          <w:rFonts w:eastAsia="MS Gothic"/>
          <w:b/>
          <w:bCs/>
        </w:rPr>
        <w:t>(</w:t>
      </w:r>
      <w:r w:rsidRPr="00A01BF2">
        <w:rPr>
          <w:rFonts w:eastAsia="MS Gothic"/>
        </w:rPr>
        <w:t>O(x)</w:t>
      </w:r>
      <w:r w:rsidR="00172B11" w:rsidRPr="00A01BF2">
        <w:rPr>
          <w:rFonts w:eastAsia="MS Gothic"/>
        </w:rPr>
        <w:t xml:space="preserve"> </w:t>
      </w:r>
      <w:r w:rsidR="00172B11" w:rsidRPr="00A01BF2">
        <w:rPr>
          <w:rFonts w:eastAsia="MS Gothic"/>
        </w:rPr>
        <w:sym w:font="Symbol" w:char="F0D9"/>
      </w:r>
      <w:r w:rsidR="00172B11" w:rsidRPr="00A01BF2">
        <w:rPr>
          <w:rFonts w:eastAsia="MS Gothic"/>
        </w:rPr>
        <w:t xml:space="preserve"> </w:t>
      </w:r>
      <w:r w:rsidRPr="00A01BF2">
        <w:rPr>
          <w:rFonts w:eastAsia="MS Gothic"/>
        </w:rPr>
        <w:t>O(y)</w:t>
      </w:r>
      <w:r w:rsidR="00172B11" w:rsidRPr="00A01BF2">
        <w:rPr>
          <w:rFonts w:eastAsia="MS Gothic"/>
        </w:rPr>
        <w:t xml:space="preserve"> </w:t>
      </w:r>
      <w:r w:rsidR="00172B11" w:rsidRPr="00A01BF2">
        <w:rPr>
          <w:rFonts w:eastAsia="MS Gothic"/>
        </w:rPr>
        <w:sym w:font="Symbol" w:char="F0D9"/>
      </w:r>
      <w:r w:rsidR="00172B11" w:rsidRPr="00A01BF2">
        <w:rPr>
          <w:rFonts w:eastAsia="MS Gothic"/>
        </w:rPr>
        <w:t xml:space="preserve"> </w:t>
      </w:r>
      <w:r w:rsidRPr="00A01BF2">
        <w:rPr>
          <w:rFonts w:eastAsia="MS Gothic"/>
        </w:rPr>
        <w:t>P(</w:t>
      </w:r>
      <w:proofErr w:type="spellStart"/>
      <w:r w:rsidRPr="00A01BF2">
        <w:rPr>
          <w:rFonts w:eastAsia="MS Gothic"/>
        </w:rPr>
        <w:t>x,y</w:t>
      </w:r>
      <w:proofErr w:type="spellEnd"/>
      <w:r w:rsidRPr="00A01BF2">
        <w:rPr>
          <w:rFonts w:eastAsia="MS Gothic"/>
        </w:rPr>
        <w:t>)</w:t>
      </w:r>
      <w:r w:rsidR="00172B11" w:rsidRPr="00A01BF2">
        <w:rPr>
          <w:rFonts w:eastAsia="MS Gothic"/>
        </w:rPr>
        <w:t>) → f(x)=f(y)</w:t>
      </w:r>
      <w:r w:rsidRPr="00A01BF2">
        <w:rPr>
          <w:rFonts w:eastAsia="MS Gothic"/>
        </w:rPr>
        <w:t xml:space="preserve"> </w:t>
      </w:r>
    </w:p>
    <w:p w:rsidR="00630B7A" w:rsidRPr="00A01BF2" w:rsidRDefault="00630B7A" w:rsidP="00172B11">
      <w:pPr>
        <w:pStyle w:val="Default"/>
        <w:ind w:left="426"/>
        <w:rPr>
          <w:rFonts w:eastAsia="MS Gothic"/>
        </w:rPr>
      </w:pPr>
    </w:p>
    <w:p w:rsidR="00630B7A" w:rsidRPr="00A01BF2" w:rsidRDefault="00630B7A" w:rsidP="00172B11">
      <w:pPr>
        <w:pStyle w:val="Default"/>
        <w:ind w:left="426"/>
        <w:rPr>
          <w:rFonts w:ascii="Calibri" w:eastAsia="MS Gothic" w:hAnsi="Calibri" w:cs="Calibri"/>
        </w:rPr>
      </w:pPr>
      <w:r w:rsidRPr="00A01BF2">
        <w:rPr>
          <w:rFonts w:eastAsia="MS Gothic"/>
          <w:b/>
          <w:bCs/>
        </w:rPr>
        <w:t xml:space="preserve">c) </w:t>
      </w:r>
      <w:r w:rsidR="00172B11" w:rsidRPr="00A01BF2">
        <w:rPr>
          <w:rFonts w:eastAsia="MS Gothic"/>
          <w:b/>
          <w:bCs/>
        </w:rPr>
        <w:t xml:space="preserve"> </w:t>
      </w:r>
      <w:r w:rsidR="00172B11" w:rsidRPr="00A01BF2">
        <w:rPr>
          <w:rFonts w:eastAsia="MS Gothic"/>
        </w:rPr>
        <w:t>┐</w:t>
      </w:r>
      <w:r w:rsidR="00172B11" w:rsidRPr="00A01BF2">
        <w:rPr>
          <w:rFonts w:eastAsia="MS Gothic"/>
          <w:b/>
          <w:bCs/>
        </w:rPr>
        <w:t>(</w:t>
      </w:r>
      <w:r w:rsidR="00172B11" w:rsidRPr="00A01BF2">
        <w:rPr>
          <w:b/>
          <w:bCs/>
        </w:rPr>
        <w:sym w:font="Symbol" w:char="F024"/>
      </w:r>
      <w:r w:rsidRPr="00A01BF2">
        <w:rPr>
          <w:rFonts w:eastAsia="MS Gothic"/>
        </w:rPr>
        <w:t>x</w:t>
      </w:r>
      <w:r w:rsidR="00172B11" w:rsidRPr="00A01BF2">
        <w:rPr>
          <w:rFonts w:eastAsia="MS Gothic"/>
        </w:rPr>
        <w:t xml:space="preserve"> </w:t>
      </w:r>
      <w:r w:rsidR="00172B11" w:rsidRPr="00A01BF2">
        <w:rPr>
          <w:b/>
          <w:bCs/>
        </w:rPr>
        <w:sym w:font="Symbol" w:char="F022"/>
      </w:r>
      <w:r w:rsidRPr="00A01BF2">
        <w:rPr>
          <w:rFonts w:eastAsia="MS Gothic"/>
        </w:rPr>
        <w:t>y P(x, y)</w:t>
      </w:r>
      <w:r w:rsidR="00172B11" w:rsidRPr="00A01BF2">
        <w:rPr>
          <w:rFonts w:eastAsia="MS Gothic"/>
        </w:rPr>
        <w:t xml:space="preserve"> </w:t>
      </w:r>
      <w:r w:rsidR="00172B11" w:rsidRPr="00A01BF2">
        <w:rPr>
          <w:rFonts w:eastAsia="MS Gothic"/>
        </w:rPr>
        <w:sym w:font="Symbol" w:char="F0D9"/>
      </w:r>
      <w:r w:rsidR="00172B11" w:rsidRPr="00A01BF2">
        <w:rPr>
          <w:rFonts w:eastAsia="MS Gothic"/>
        </w:rPr>
        <w:t xml:space="preserve"> ┐(</w:t>
      </w:r>
      <w:r w:rsidR="00172B11" w:rsidRPr="00A01BF2">
        <w:rPr>
          <w:b/>
          <w:bCs/>
        </w:rPr>
        <w:sym w:font="Symbol" w:char="F022"/>
      </w:r>
      <w:r w:rsidRPr="00A01BF2">
        <w:rPr>
          <w:rFonts w:eastAsia="MS Gothic"/>
        </w:rPr>
        <w:t>y</w:t>
      </w:r>
      <w:r w:rsidR="000A181A" w:rsidRPr="00A01BF2">
        <w:rPr>
          <w:rFonts w:eastAsia="MS Gothic"/>
        </w:rPr>
        <w:t xml:space="preserve"> </w:t>
      </w:r>
      <w:r w:rsidR="00172B11" w:rsidRPr="00A01BF2">
        <w:rPr>
          <w:b/>
          <w:bCs/>
        </w:rPr>
        <w:sym w:font="Symbol" w:char="F024"/>
      </w:r>
      <w:r w:rsidRPr="00A01BF2">
        <w:rPr>
          <w:rFonts w:eastAsia="MS Gothic"/>
        </w:rPr>
        <w:t>x P(x, y</w:t>
      </w:r>
      <w:r w:rsidRPr="00A01BF2">
        <w:rPr>
          <w:rFonts w:ascii="Calibri" w:eastAsia="MS Gothic" w:hAnsi="Calibri" w:cs="Calibri"/>
        </w:rPr>
        <w:t>)))</w:t>
      </w:r>
    </w:p>
    <w:p w:rsidR="00FB3A43" w:rsidRPr="00A01BF2" w:rsidRDefault="00FB3A43">
      <w:pPr>
        <w:rPr>
          <w:sz w:val="24"/>
          <w:szCs w:val="24"/>
        </w:rPr>
      </w:pPr>
    </w:p>
    <w:sectPr w:rsidR="00FB3A43" w:rsidRPr="00A01BF2" w:rsidSect="0084521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06BC3"/>
    <w:multiLevelType w:val="hybridMultilevel"/>
    <w:tmpl w:val="4150FF6E"/>
    <w:lvl w:ilvl="0" w:tplc="1D6AD0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7A"/>
    <w:rsid w:val="000A181A"/>
    <w:rsid w:val="00172B11"/>
    <w:rsid w:val="00416DAB"/>
    <w:rsid w:val="005565AF"/>
    <w:rsid w:val="00630B7A"/>
    <w:rsid w:val="00935761"/>
    <w:rsid w:val="00A01BF2"/>
    <w:rsid w:val="00B11630"/>
    <w:rsid w:val="00E74B69"/>
    <w:rsid w:val="00FB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224BA-D0A7-4D8C-B8E5-EBF43296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30B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556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6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2023-12-10T18:49:00Z</dcterms:created>
  <dcterms:modified xsi:type="dcterms:W3CDTF">2023-12-10T19:26:00Z</dcterms:modified>
</cp:coreProperties>
</file>