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A1A1A"/>
          <w:sz w:val="40"/>
          <w:szCs w:val="40"/>
        </w:rPr>
        <w:t xml:space="preserve">What's New — Testing Guide</w:t>
      </w:r>
    </w:p>
    <w:p>
      <w:pPr>
        <w:spacing w:after="240"/>
      </w:pPr>
      <w:r>
        <w:rPr>
          <w:i/>
          <w:iCs/>
          <w:color w:val="6E7B91"/>
          <w:sz w:val="22"/>
          <w:szCs w:val="22"/>
        </w:rPr>
        <w:t xml:space="preserve">Kartavya · 5 new features, staging branch</w:t>
      </w:r>
    </w:p>
    <w:p>
      <w:pPr>
        <w:spacing w:after="40"/>
      </w:pPr>
      <w:r>
        <w:rPr>
          <w:b/>
          <w:bCs/>
          <w:color w:val="6E7B91"/>
          <w:sz w:val="20"/>
          <w:szCs w:val="20"/>
        </w:rPr>
        <w:t xml:space="preserve">For: </w:t>
      </w:r>
      <w:r>
        <w:rPr>
          <w:color w:val="333333"/>
          <w:sz w:val="20"/>
          <w:szCs w:val="20"/>
        </w:rPr>
        <w:t xml:space="preserve">Feature testing session, 2026-07-22</w:t>
      </w:r>
    </w:p>
    <w:p>
      <w:pPr>
        <w:spacing w:after="40"/>
      </w:pPr>
      <w:r>
        <w:rPr>
          <w:b/>
          <w:bCs/>
          <w:color w:val="6E7B91"/>
          <w:sz w:val="20"/>
          <w:szCs w:val="20"/>
        </w:rPr>
        <w:t xml:space="preserve">Covers: </w:t>
      </w:r>
      <w:r>
        <w:rPr>
          <w:color w:val="333333"/>
          <w:sz w:val="20"/>
          <w:szCs w:val="20"/>
        </w:rPr>
        <w:t xml:space="preserve">5 new features shipped 2026-07-21 (staging branch)</w:t>
      </w:r>
    </w:p>
    <w:p>
      <w:pPr>
        <w:spacing w:after="40"/>
      </w:pPr>
      <w:r>
        <w:rPr>
          <w:b/>
          <w:bCs/>
          <w:color w:val="6E7B91"/>
          <w:sz w:val="20"/>
          <w:szCs w:val="20"/>
        </w:rPr>
        <w:t xml:space="preserve">Where: </w:t>
      </w:r>
      <w:r>
        <w:rPr>
          <w:color w:val="333333"/>
          <w:sz w:val="20"/>
          <w:szCs w:val="20"/>
        </w:rPr>
        <w:t xml:space="preserve">All features are live in the app — no separate test environment</w:t>
      </w:r>
    </w:p>
    <w:p>
      <w:pPr>
        <w:pStyle w:val="Heading1"/>
        <w:pBdr>
          <w:bottom w:val="single" w:color="0082C6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Log in as an admin (some actions like approving claims/leaves are admin-only).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You'll need at least 1-2 employees already in Manav and at least 1 product in Ganit → Products for the stock test.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Test in order — features 1 and 2 (loans/expenses) only fully show their effect after you run payroll in Vetana, so save that step for after you've set up test data.</w:t>
      </w:r>
    </w:p>
    <w:p>
      <w:pPr>
        <w:pStyle w:val="Heading1"/>
        <w:pBdr>
          <w:bottom w:val="single" w:color="0082C6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1.  Employee Loans &amp; Salary Advances</w:t>
      </w:r>
    </w:p>
    <w:p>
      <w:pPr>
        <w:pBdr>
          <w:left w:val="single" w:color="0082C6" w:sz="18" w:space="8"/>
        </w:pBdr>
        <w:shd w:fill="EAF4FB"/>
        <w:spacing w:after="140"/>
        <w:ind w:left="72"/>
      </w:pPr>
      <w:r>
        <w:rPr>
          <w:b/>
          <w:bCs/>
          <w:color w:val="0082C6"/>
          <w:sz w:val="20"/>
          <w:szCs w:val="20"/>
        </w:rPr>
        <w:t xml:space="preserve">Where:  </w:t>
      </w:r>
      <w:r>
        <w:rPr>
          <w:color w:val="1A1A1A"/>
          <w:sz w:val="20"/>
          <w:szCs w:val="20"/>
        </w:rPr>
        <w:t xml:space="preserve">Vetana → Loans tab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Click + New Loan → pick an employee → enter Principal (e.g. ₹10,000) and Monthly EMI (e.g. ₹2,000) → Save.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Confirm the loan shows up in the list with status Active and balance = principal.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Go to Vetana → Payroll → process payroll for the current month for that employee.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Open the resulting payslip → check for a “Loan Repayment” line in Deductions, matching the EMI amount (or less, if balance was lower).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Approve the payroll run.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Go back to Loans tab → confirm the balance dropped by the EMI amount. Run payroll enough times (or check the math) to confirm it auto-closes at ₹0.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Try Write Off on an active loan → confirm status changes to “written off” and it's no longer deducted in future payroll runs.</w:t>
      </w:r>
    </w:p>
    <w:p>
      <w:pPr>
        <w:pBdr>
          <w:left w:val="single" w:color="D97706" w:sz="18" w:space="8"/>
        </w:pBdr>
        <w:shd w:fill="FFF6E5"/>
        <w:spacing w:after="260" w:before="100"/>
      </w:pPr>
      <w:r>
        <w:rPr>
          <w:b/>
          <w:bCs/>
          <w:color w:val="B45309"/>
          <w:sz w:val="20"/>
          <w:szCs w:val="20"/>
        </w:rPr>
        <w:t xml:space="preserve">Watch for:  </w:t>
      </w:r>
      <w:r>
        <w:rPr>
          <w:color w:val="3A2E1A"/>
          <w:sz w:val="20"/>
          <w:szCs w:val="20"/>
        </w:rPr>
        <w:t xml:space="preserve">Deduction shouldn't exceed the remaining balance (e.g. if balance is ₹500 and EMI is ₹2,000, only ₹500 should be deducted, and the loan should close).</w:t>
      </w:r>
    </w:p>
    <w:p>
      <w:pPr>
        <w:pStyle w:val="Heading1"/>
        <w:pBdr>
          <w:bottom w:val="single" w:color="0082C6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2.  Employee Expense Claims &amp; Reimbursement</w:t>
      </w:r>
    </w:p>
    <w:p>
      <w:pPr>
        <w:pBdr>
          <w:left w:val="single" w:color="0082C6" w:sz="18" w:space="8"/>
        </w:pBdr>
        <w:shd w:fill="EAF4FB"/>
        <w:spacing w:after="140"/>
        <w:ind w:left="72"/>
      </w:pPr>
      <w:r>
        <w:rPr>
          <w:b/>
          <w:bCs/>
          <w:color w:val="0082C6"/>
          <w:sz w:val="20"/>
          <w:szCs w:val="20"/>
        </w:rPr>
        <w:t xml:space="preserve">Where:  </w:t>
      </w:r>
      <w:r>
        <w:rPr>
          <w:color w:val="1A1A1A"/>
          <w:sz w:val="20"/>
          <w:szCs w:val="20"/>
        </w:rPr>
        <w:t xml:space="preserve">Manav → Expenses tab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Log in as a regular employee (or the admin acting as self) → click + Submit Claim → fill category, date, amount, description → optionally paste a receipt URL → Submit.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Confirm it appears with status Pending.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Switch to admin view → find the claim → click Approve (or Reject with a reason — confirm the rejection reason shows on the card).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Go to Vetana → process payroll for that employee's month.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Open the payslip → confirm a green “+ Expense Reimbursement” line appears above Net Pay, adding to (not subtracting from) the total.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Confirm the claim's status is still “Approved” until you approve the payroll run — after that it should flip to Paid (check back in the Expenses tab).</w:t>
      </w:r>
    </w:p>
    <w:p>
      <w:pPr>
        <w:pBdr>
          <w:left w:val="single" w:color="D97706" w:sz="18" w:space="8"/>
        </w:pBdr>
        <w:shd w:fill="FFF6E5"/>
        <w:spacing w:after="260" w:before="100"/>
      </w:pPr>
      <w:r>
        <w:rPr>
          <w:b/>
          <w:bCs/>
          <w:color w:val="B45309"/>
          <w:sz w:val="20"/>
          <w:szCs w:val="20"/>
        </w:rPr>
        <w:t xml:space="preserve">Watch for:  </w:t>
      </w:r>
      <w:r>
        <w:rPr>
          <w:color w:val="3A2E1A"/>
          <w:sz w:val="20"/>
          <w:szCs w:val="20"/>
        </w:rPr>
        <w:t xml:space="preserve">A claim shouldn't be payable twice — once it's tied to a payslip it shouldn't show up again in a future payroll run.</w:t>
      </w:r>
    </w:p>
    <w:p>
      <w:pPr>
        <w:pStyle w:val="Heading1"/>
        <w:pBdr>
          <w:bottom w:val="single" w:color="0082C6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3.  Vendor Bills &amp; Accounts Payable</w:t>
      </w:r>
    </w:p>
    <w:p>
      <w:pPr>
        <w:pBdr>
          <w:left w:val="single" w:color="0082C6" w:sz="18" w:space="8"/>
        </w:pBdr>
        <w:shd w:fill="EAF4FB"/>
        <w:spacing w:after="140"/>
        <w:ind w:left="72"/>
      </w:pPr>
      <w:r>
        <w:rPr>
          <w:b/>
          <w:bCs/>
          <w:color w:val="0082C6"/>
          <w:sz w:val="20"/>
          <w:szCs w:val="20"/>
        </w:rPr>
        <w:t xml:space="preserve">Where:  </w:t>
      </w:r>
      <w:r>
        <w:rPr>
          <w:color w:val="1A1A1A"/>
          <w:sz w:val="20"/>
          <w:szCs w:val="20"/>
        </w:rPr>
        <w:t xml:space="preserve">Ganit → Payables tab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222222"/>
          <w:sz w:val="21"/>
          <w:szCs w:val="21"/>
        </w:rPr>
        <w:t xml:space="preserve">Click + Vendor → add a test vendor (name required, GSTIN/email/phone optional) → Save.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222222"/>
          <w:sz w:val="21"/>
          <w:szCs w:val="21"/>
        </w:rPr>
        <w:t xml:space="preserve">Click + Vendor Bill → select the vendor → add 1-2 line items (description, qty, rate, GST%) → set a due date → Save.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222222"/>
          <w:sz w:val="21"/>
          <w:szCs w:val="21"/>
        </w:rPr>
        <w:t xml:space="preserve">Confirm the bill appears in the list as Unpaid with the correct GST-inclusive total.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222222"/>
          <w:sz w:val="21"/>
          <w:szCs w:val="21"/>
        </w:rPr>
        <w:t xml:space="preserve">Check the stat tiles at the top (Outstanding, Overdue, Open Bills) reflect this new bill.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222222"/>
          <w:sz w:val="21"/>
          <w:szCs w:val="21"/>
        </w:rPr>
        <w:t xml:space="preserve">Open the bill → record a partial payment (less than the total) → confirm status changes to Partially Paid and balance updates.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222222"/>
          <w:sz w:val="21"/>
          <w:szCs w:val="21"/>
        </w:rPr>
        <w:t xml:space="preserve">Record a second payment for the remaining balance → confirm status flips to Paid.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222222"/>
          <w:sz w:val="21"/>
          <w:szCs w:val="21"/>
        </w:rPr>
        <w:t xml:space="preserve">Create a bill with a due date in the past → confirm it shows under “Overdue” in the summary tiles.</w:t>
      </w:r>
    </w:p>
    <w:p>
      <w:pPr>
        <w:pBdr>
          <w:left w:val="single" w:color="D97706" w:sz="18" w:space="8"/>
        </w:pBdr>
        <w:shd w:fill="FFF6E5"/>
        <w:spacing w:after="260" w:before="100"/>
      </w:pPr>
      <w:r>
        <w:rPr>
          <w:b/>
          <w:bCs/>
          <w:color w:val="B45309"/>
          <w:sz w:val="20"/>
          <w:szCs w:val="20"/>
        </w:rPr>
        <w:t xml:space="preserve">Watch for:  </w:t>
      </w:r>
      <w:r>
        <w:rPr>
          <w:color w:val="3A2E1A"/>
          <w:sz w:val="20"/>
          <w:szCs w:val="20"/>
        </w:rPr>
        <w:t xml:space="preserve">GST math (CGST+SGST or IGST depending on the checkbox) should match what you'd expect for the line items entered.</w:t>
      </w:r>
    </w:p>
    <w:p>
      <w:pPr>
        <w:pStyle w:val="Heading1"/>
        <w:pBdr>
          <w:bottom w:val="single" w:color="0082C6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4.  Product Stock Ledger</w:t>
      </w:r>
    </w:p>
    <w:p>
      <w:pPr>
        <w:pBdr>
          <w:left w:val="single" w:color="0082C6" w:sz="18" w:space="8"/>
        </w:pBdr>
        <w:shd w:fill="EAF4FB"/>
        <w:spacing w:after="140"/>
        <w:ind w:left="72"/>
      </w:pPr>
      <w:r>
        <w:rPr>
          <w:b/>
          <w:bCs/>
          <w:color w:val="0082C6"/>
          <w:sz w:val="20"/>
          <w:szCs w:val="20"/>
        </w:rPr>
        <w:t xml:space="preserve">Where:  </w:t>
      </w:r>
      <w:r>
        <w:rPr>
          <w:color w:val="1A1A1A"/>
          <w:sz w:val="20"/>
          <w:szCs w:val="20"/>
        </w:rPr>
        <w:t xml:space="preserve">Vikray → Stock tab (new products need a threshold set once to show up meaningfully)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color w:val="222222"/>
          <w:sz w:val="21"/>
          <w:szCs w:val="21"/>
        </w:rPr>
        <w:t xml:space="preserve">Go to Stock tab → find a product → set a Low Stock Threshold (e.g. 5) by typing in the box and clicking away.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color w:val="222222"/>
          <w:sz w:val="21"/>
          <w:szCs w:val="21"/>
        </w:rPr>
        <w:t xml:space="preserve">Use the +1 / -1 buttons to manually adjust quantity → confirm the “On Hand” number updates immediately.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color w:val="222222"/>
          <w:sz w:val="21"/>
          <w:szCs w:val="21"/>
        </w:rPr>
        <w:t xml:space="preserve">Go to Vikray → Orders → create a new order that includes that product with some quantity → confirm the order.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color w:val="222222"/>
          <w:sz w:val="21"/>
          <w:szCs w:val="21"/>
        </w:rPr>
        <w:t xml:space="preserve">Go back to Stock tab → confirm quantity on hand decreased by the ordered quantity.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color w:val="222222"/>
          <w:sz w:val="21"/>
          <w:szCs w:val="21"/>
        </w:rPr>
        <w:t xml:space="preserve">Cancel a confirmed order (not draft) → confirm stock is added back.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color w:val="222222"/>
          <w:sz w:val="21"/>
          <w:szCs w:val="21"/>
        </w:rPr>
        <w:t xml:space="preserve">Adjust a product's quantity down below its threshold → confirm it shows a red “Low Stock” badge, and shows up when you check “Low stock only.”</w:t>
      </w:r>
    </w:p>
    <w:p>
      <w:pPr>
        <w:pBdr>
          <w:left w:val="single" w:color="D97706" w:sz="18" w:space="8"/>
        </w:pBdr>
        <w:shd w:fill="FFF6E5"/>
        <w:spacing w:after="260" w:before="100"/>
      </w:pPr>
      <w:r>
        <w:rPr>
          <w:b/>
          <w:bCs/>
          <w:color w:val="B45309"/>
          <w:sz w:val="20"/>
          <w:szCs w:val="20"/>
        </w:rPr>
        <w:t xml:space="preserve">Watch for:  </w:t>
      </w:r>
      <w:r>
        <w:rPr>
          <w:color w:val="3A2E1A"/>
          <w:sz w:val="20"/>
          <w:szCs w:val="20"/>
        </w:rPr>
        <w:t xml:space="preserve">Stock should only move when an order transitions to Confirmed (not while it's still Draft), and should reverse correctly on cancellation.</w:t>
      </w:r>
    </w:p>
    <w:p>
      <w:pPr>
        <w:pStyle w:val="Heading1"/>
        <w:pBdr>
          <w:bottom w:val="single" w:color="0082C6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5.  Recruitment / Applicant Tracking</w:t>
      </w:r>
    </w:p>
    <w:p>
      <w:pPr>
        <w:pBdr>
          <w:left w:val="single" w:color="0082C6" w:sz="18" w:space="8"/>
        </w:pBdr>
        <w:shd w:fill="EAF4FB"/>
        <w:spacing w:after="140"/>
        <w:ind w:left="72"/>
      </w:pPr>
      <w:r>
        <w:rPr>
          <w:b/>
          <w:bCs/>
          <w:color w:val="0082C6"/>
          <w:sz w:val="20"/>
          <w:szCs w:val="20"/>
        </w:rPr>
        <w:t xml:space="preserve">Where:  </w:t>
      </w:r>
      <w:r>
        <w:rPr>
          <w:color w:val="1A1A1A"/>
          <w:sz w:val="20"/>
          <w:szCs w:val="20"/>
        </w:rPr>
        <w:t xml:space="preserve">Manav → Recruitment tab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222222"/>
          <w:sz w:val="21"/>
          <w:szCs w:val="21"/>
        </w:rPr>
        <w:t xml:space="preserve">Click + Job Opening → give it a title (e.g. “Sales Executive”) → Create.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222222"/>
          <w:sz w:val="21"/>
          <w:szCs w:val="21"/>
        </w:rPr>
        <w:t xml:space="preserve">With that opening selected, click + Candidate → add a test candidate (name required; email/phone/resume link optional) → Add.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222222"/>
          <w:sz w:val="21"/>
          <w:szCs w:val="21"/>
        </w:rPr>
        <w:t xml:space="preserve">Confirm the candidate card appears in the Applied column.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222222"/>
          <w:sz w:val="21"/>
          <w:szCs w:val="21"/>
        </w:rPr>
        <w:t xml:space="preserve">Use the small stage buttons on the card to move it through Screening → Interview → Offer.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222222"/>
          <w:sz w:val="21"/>
          <w:szCs w:val="21"/>
        </w:rPr>
        <w:t xml:space="preserve">From the Offer column, click Hire on the candidate.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222222"/>
          <w:sz w:val="21"/>
          <w:szCs w:val="21"/>
        </w:rPr>
        <w:t xml:space="preserve">Go to Manav → Employees tab → confirm a new employee record was created with that candidate's name/email/phone.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222222"/>
          <w:sz w:val="21"/>
          <w:szCs w:val="21"/>
        </w:rPr>
        <w:t xml:space="preserve">Go back to Recruitment → confirm the candidate card now shows stage Hired and the Hire button is gone.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222222"/>
          <w:sz w:val="21"/>
          <w:szCs w:val="21"/>
        </w:rPr>
        <w:t xml:space="preserve">Try rejecting a candidate from any stage → confirm it moves to Rejected.</w:t>
      </w:r>
    </w:p>
    <w:p>
      <w:pPr>
        <w:pBdr>
          <w:left w:val="single" w:color="D97706" w:sz="18" w:space="8"/>
        </w:pBdr>
        <w:shd w:fill="FFF6E5"/>
        <w:spacing w:after="260" w:before="100"/>
      </w:pPr>
      <w:r>
        <w:rPr>
          <w:b/>
          <w:bCs/>
          <w:color w:val="B45309"/>
          <w:sz w:val="20"/>
          <w:szCs w:val="20"/>
        </w:rPr>
        <w:t xml:space="preserve">Watch for:  </w:t>
      </w:r>
      <w:r>
        <w:rPr>
          <w:color w:val="3A2E1A"/>
          <w:sz w:val="20"/>
          <w:szCs w:val="20"/>
        </w:rPr>
        <w:t xml:space="preserve">Hiring the same candidate twice should be blocked (the Hire button disappears after hire).</w:t>
      </w:r>
    </w:p>
    <w:p>
      <w:pPr>
        <w:pStyle w:val="Heading1"/>
        <w:pBdr>
          <w:bottom w:val="single" w:color="0082C6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Reporting Issues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For each bug found, note: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Which feature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Exact steps to reproduce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What you expected vs. what happened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A screenshot if the numbers look wrong (especially payroll/GST amounts — those are the highest-risk areas since they involve money math)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2026-07-21T16:24:18.152Z</dcterms:created>
  <dcterms:modified xsi:type="dcterms:W3CDTF">2026-07-21T16:24:18.152Z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