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24D9" w14:textId="77777777" w:rsidR="003510D0" w:rsidRPr="003510D0" w:rsidRDefault="003510D0" w:rsidP="00351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0D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04368B1" wp14:editId="65144775">
                <wp:extent cx="5731510" cy="1270"/>
                <wp:effectExtent l="0" t="31750" r="0" b="36830"/>
                <wp:docPr id="135579777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81E76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07774B2" w14:textId="77777777" w:rsidR="003510D0" w:rsidRPr="003510D0" w:rsidRDefault="003510D0" w:rsidP="003510D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51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Climora</w:t>
      </w:r>
      <w:proofErr w:type="spellEnd"/>
      <w:r w:rsidRPr="00351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Financial Plan (Summary)</w:t>
      </w:r>
    </w:p>
    <w:p w14:paraId="41C49EAA" w14:textId="77777777" w:rsidR="003510D0" w:rsidRPr="003510D0" w:rsidRDefault="003510D0" w:rsidP="003510D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F07BCF8" w14:textId="77777777" w:rsidR="003510D0" w:rsidRPr="003510D0" w:rsidRDefault="003510D0" w:rsidP="003510D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1. Startup Costs (Estimated):</w:t>
      </w:r>
    </w:p>
    <w:p w14:paraId="56E94E6F" w14:textId="77777777" w:rsidR="003510D0" w:rsidRPr="003510D0" w:rsidRDefault="003510D0" w:rsidP="0035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 xml:space="preserve">Land &amp; Legal Fees: $1.5 million (lease or development rights for </w:t>
      </w:r>
      <w:proofErr w:type="spellStart"/>
      <w:r w:rsidRPr="003510D0">
        <w:rPr>
          <w:rFonts w:ascii="Times New Roman" w:hAnsi="Times New Roman" w:cs="Times New Roman"/>
          <w:kern w:val="0"/>
          <w14:ligatures w14:val="none"/>
        </w:rPr>
        <w:t>Zabargad</w:t>
      </w:r>
      <w:proofErr w:type="spellEnd"/>
      <w:r w:rsidRPr="003510D0">
        <w:rPr>
          <w:rFonts w:ascii="Times New Roman" w:hAnsi="Times New Roman" w:cs="Times New Roman"/>
          <w:kern w:val="0"/>
          <w14:ligatures w14:val="none"/>
        </w:rPr>
        <w:t xml:space="preserve"> Island)</w:t>
      </w:r>
    </w:p>
    <w:p w14:paraId="4F72D815" w14:textId="77777777" w:rsidR="003510D0" w:rsidRPr="003510D0" w:rsidRDefault="003510D0" w:rsidP="0035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Construction &amp; Infrastructure: $10 million (resort buildings, climate systems, renewable energy setup)</w:t>
      </w:r>
    </w:p>
    <w:p w14:paraId="03D87CB8" w14:textId="77777777" w:rsidR="003510D0" w:rsidRPr="003510D0" w:rsidRDefault="003510D0" w:rsidP="0035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Technology &amp; Equipment: $2 million (smart systems, HVAC, water systems, etc.)</w:t>
      </w:r>
    </w:p>
    <w:p w14:paraId="23353F37" w14:textId="77777777" w:rsidR="003510D0" w:rsidRPr="003510D0" w:rsidRDefault="003510D0" w:rsidP="0035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Marketing &amp; Branding: $500,000</w:t>
      </w:r>
    </w:p>
    <w:p w14:paraId="4CC6E670" w14:textId="77777777" w:rsidR="003510D0" w:rsidRPr="003510D0" w:rsidRDefault="003510D0" w:rsidP="0035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Staff Hiring &amp; Training: $1 million</w:t>
      </w:r>
    </w:p>
    <w:p w14:paraId="05833F24" w14:textId="77777777" w:rsidR="003510D0" w:rsidRPr="003510D0" w:rsidRDefault="003510D0" w:rsidP="0035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Contingency &amp; Reserves: $1 million</w:t>
      </w:r>
    </w:p>
    <w:p w14:paraId="171A0380" w14:textId="77777777" w:rsidR="003510D0" w:rsidRPr="003510D0" w:rsidRDefault="003510D0" w:rsidP="003510D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→ Total Initial Investment: ~$16 million</w:t>
      </w:r>
    </w:p>
    <w:p w14:paraId="5C04FA8C" w14:textId="77777777" w:rsidR="003510D0" w:rsidRPr="003510D0" w:rsidRDefault="003510D0" w:rsidP="003510D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60CBDC7" w14:textId="77777777" w:rsidR="003510D0" w:rsidRPr="003510D0" w:rsidRDefault="003510D0" w:rsidP="003510D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2. Revenue Streams:</w:t>
      </w:r>
    </w:p>
    <w:p w14:paraId="71D94ADD" w14:textId="77777777" w:rsidR="003510D0" w:rsidRPr="003510D0" w:rsidRDefault="003510D0" w:rsidP="00351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Room Bookings: Main revenue from luxury stay packages (estimated $800–$1,500 per night)</w:t>
      </w:r>
    </w:p>
    <w:p w14:paraId="3819FCBE" w14:textId="77777777" w:rsidR="003510D0" w:rsidRPr="003510D0" w:rsidRDefault="003510D0" w:rsidP="00351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Premium Experiences: Diving tours, spa services, private events</w:t>
      </w:r>
    </w:p>
    <w:p w14:paraId="5801D39F" w14:textId="77777777" w:rsidR="003510D0" w:rsidRPr="003510D0" w:rsidRDefault="003510D0" w:rsidP="00351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Sustainability Packages: Eco-tourism and educational programs</w:t>
      </w:r>
    </w:p>
    <w:p w14:paraId="5920695B" w14:textId="77777777" w:rsidR="003510D0" w:rsidRPr="003510D0" w:rsidRDefault="003510D0" w:rsidP="00351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Dining &amp; Retail: Upscale restaurants and boutique island shops</w:t>
      </w:r>
    </w:p>
    <w:p w14:paraId="4B76A5CB" w14:textId="77777777" w:rsidR="003510D0" w:rsidRPr="003510D0" w:rsidRDefault="003510D0" w:rsidP="003510D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1C33F81" w14:textId="77777777" w:rsidR="003510D0" w:rsidRPr="003510D0" w:rsidRDefault="003510D0" w:rsidP="003510D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3. Yearly Revenue Forecast (After Launch):</w:t>
      </w:r>
    </w:p>
    <w:p w14:paraId="5A67FAC6" w14:textId="77777777" w:rsidR="003510D0" w:rsidRPr="003510D0" w:rsidRDefault="003510D0" w:rsidP="00351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Occupancy Rate: 60–70% average in Year 1</w:t>
      </w:r>
    </w:p>
    <w:p w14:paraId="620C5FA2" w14:textId="77777777" w:rsidR="003510D0" w:rsidRPr="003510D0" w:rsidRDefault="003510D0" w:rsidP="00351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Estimated Annual Revenue: $6–8 million</w:t>
      </w:r>
    </w:p>
    <w:p w14:paraId="0FBDC4AA" w14:textId="77777777" w:rsidR="003510D0" w:rsidRPr="003510D0" w:rsidRDefault="003510D0" w:rsidP="00351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Net Profit Margin Target: 20–25% by Year 3 after breakeven</w:t>
      </w:r>
    </w:p>
    <w:p w14:paraId="7E2E5611" w14:textId="77777777" w:rsidR="003510D0" w:rsidRPr="003510D0" w:rsidRDefault="003510D0" w:rsidP="003510D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2A8BFBD" w14:textId="77777777" w:rsidR="003510D0" w:rsidRPr="003510D0" w:rsidRDefault="003510D0" w:rsidP="003510D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4. Breakeven Point:</w:t>
      </w:r>
    </w:p>
    <w:p w14:paraId="2ED08F5A" w14:textId="77777777" w:rsidR="003510D0" w:rsidRPr="003510D0" w:rsidRDefault="003510D0" w:rsidP="00351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3510D0">
        <w:rPr>
          <w:rFonts w:ascii="Times New Roman" w:hAnsi="Times New Roman" w:cs="Times New Roman"/>
          <w:kern w:val="0"/>
          <w14:ligatures w14:val="none"/>
        </w:rPr>
        <w:t>Expected within 3–5 years, depending on occupancy growth and operational efficiency.</w:t>
      </w:r>
    </w:p>
    <w:p w14:paraId="1218336F" w14:textId="77777777" w:rsidR="003510D0" w:rsidRPr="003510D0" w:rsidRDefault="003510D0" w:rsidP="00351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10D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60648C4" wp14:editId="4A226B4F">
                <wp:extent cx="5731510" cy="1270"/>
                <wp:effectExtent l="0" t="31750" r="0" b="36830"/>
                <wp:docPr id="10624842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2200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95E7D52" w14:textId="77777777" w:rsidR="003510D0" w:rsidRPr="003510D0" w:rsidRDefault="003510D0">
      <w:pPr>
        <w:rPr>
          <w:lang w:val="en-US"/>
        </w:rPr>
      </w:pPr>
    </w:p>
    <w:sectPr w:rsidR="003510D0" w:rsidRPr="0035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57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8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A60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115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23943">
    <w:abstractNumId w:val="1"/>
  </w:num>
  <w:num w:numId="2" w16cid:durableId="1919319452">
    <w:abstractNumId w:val="2"/>
  </w:num>
  <w:num w:numId="3" w16cid:durableId="677389243">
    <w:abstractNumId w:val="3"/>
  </w:num>
  <w:num w:numId="4" w16cid:durableId="153958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D0"/>
    <w:rsid w:val="003510D0"/>
    <w:rsid w:val="0036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91CB"/>
  <w15:chartTrackingRefBased/>
  <w15:docId w15:val="{B72D4729-D338-A145-89EC-0D346ECC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0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0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0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0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0D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510D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510D0"/>
  </w:style>
  <w:style w:type="character" w:customStyle="1" w:styleId="s2">
    <w:name w:val="s2"/>
    <w:basedOn w:val="DefaultParagraphFont"/>
    <w:rsid w:val="003510D0"/>
  </w:style>
  <w:style w:type="character" w:customStyle="1" w:styleId="s3">
    <w:name w:val="s3"/>
    <w:basedOn w:val="DefaultParagraphFont"/>
    <w:rsid w:val="003510D0"/>
  </w:style>
  <w:style w:type="paragraph" w:customStyle="1" w:styleId="p3">
    <w:name w:val="p3"/>
    <w:basedOn w:val="Normal"/>
    <w:rsid w:val="003510D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basseem</dc:creator>
  <cp:keywords/>
  <dc:description/>
  <cp:lastModifiedBy>youssef basseem</cp:lastModifiedBy>
  <cp:revision>2</cp:revision>
  <dcterms:created xsi:type="dcterms:W3CDTF">2025-05-14T16:08:00Z</dcterms:created>
  <dcterms:modified xsi:type="dcterms:W3CDTF">2025-05-14T16:08:00Z</dcterms:modified>
</cp:coreProperties>
</file>