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0"/>
      </w:pPr>
    </w:p>
    <w:p>
      <w:pPr>
        <w:pStyle w:val="Title"/>
      </w:pPr>
      <w:r>
        <w:rPr>
          <w:rFonts w:ascii="SimSun" w:hAnsi="SimSun" w:eastAsia="宋体" w:cs="SimSun"/>
          <w:b/>
          <w:sz w:val="44"/>
        </w:rPr>
        <w:t>《厂东英雄传》美术素材需求书</w:t>
      </w:r>
    </w:p>
    <w:p>
      <w:pPr>
        <w:pStyle w:val="Subtitle"/>
      </w:pPr>
      <w:r>
        <w:rPr>
          <w:rFonts w:ascii="SimSun" w:hAnsi="SimSun" w:eastAsia="宋体" w:cs="SimSun"/>
          <w:i w:val="0"/>
          <w:color w:val="555555"/>
          <w:sz w:val="28"/>
        </w:rPr>
        <w:t>混合 2.5D 技术路线 · V0 最小验证与 Steam Demo</w:t>
      </w:r>
    </w:p>
    <w:p>
      <w:pPr>
        <w:pStyle w:val="Metadata"/>
      </w:pPr>
      <w:r>
        <w:rPr>
          <w:rFonts w:ascii="SimSun" w:hAnsi="SimSun" w:eastAsia="宋体" w:cs="SimSun"/>
          <w:color w:val="555555"/>
          <w:sz w:val="22"/>
        </w:rPr>
        <w:t>文档版本：V1.0</w:t>
      </w:r>
    </w:p>
    <w:p>
      <w:pPr>
        <w:pStyle w:val="Metadata"/>
      </w:pPr>
      <w:r>
        <w:rPr>
          <w:rFonts w:ascii="SimSun" w:hAnsi="SimSun" w:eastAsia="宋体" w:cs="SimSun"/>
          <w:color w:val="555555"/>
          <w:sz w:val="22"/>
        </w:rPr>
        <w:t>文档状态：执行草案</w:t>
      </w:r>
    </w:p>
    <w:p>
      <w:pPr>
        <w:pStyle w:val="Metadata"/>
      </w:pPr>
      <w:r>
        <w:rPr>
          <w:rFonts w:ascii="SimSun" w:hAnsi="SimSun" w:eastAsia="宋体" w:cs="SimSun"/>
          <w:color w:val="555555"/>
          <w:sz w:val="22"/>
        </w:rPr>
        <w:t>编制日期：2026 年 7 月 22 日</w:t>
      </w:r>
    </w:p>
    <w:p>
      <w:pPr>
        <w:pStyle w:val="Metadata"/>
      </w:pPr>
      <w:r>
        <w:rPr>
          <w:rFonts w:ascii="SimSun" w:hAnsi="SimSun" w:eastAsia="宋体" w:cs="SimSun"/>
          <w:color w:val="555555"/>
          <w:sz w:val="22"/>
        </w:rPr>
        <w:t>适用项目：Godot .NET 4.7.1 / Windows / Steam</w:t>
      </w:r>
    </w:p>
    <w:p>
      <w:pPr>
        <w:spacing w:before="1560" w:after="80"/>
        <w:jc w:val="center"/>
      </w:pPr>
      <w:r>
        <w:rPr>
          <w:rFonts w:ascii="SimSun" w:hAnsi="SimSun" w:eastAsia="宋体" w:cs="SimSun"/>
          <w:b/>
          <w:sz w:val="24"/>
        </w:rPr>
        <w:t>排版规范</w:t>
      </w:r>
    </w:p>
    <w:p>
      <w:pPr>
        <w:pStyle w:val="Metadata"/>
      </w:pPr>
      <w:r>
        <w:rPr>
          <w:rFonts w:ascii="SimSun" w:hAnsi="SimSun" w:eastAsia="宋体" w:cs="SimSun"/>
          <w:color w:val="555555"/>
          <w:sz w:val="21"/>
        </w:rPr>
        <w:t>全文宋体；标题 22 pt；一级标题 16 pt；二级标题 14 pt；正文 12 pt；首行缩进 2 字符；1.5 倍行距</w:t>
      </w:r>
      <w:r>
        <w:br w:type="page"/>
      </w:r>
    </w:p>
    <w:p>
      <w:pPr>
        <w:pStyle w:val="Heading1"/>
      </w:pPr>
      <w:r>
        <w:t>一、文档目的与适用范围</w:t>
      </w:r>
    </w:p>
    <w:p>
      <w:pPr/>
      <w:r>
        <w:rPr>
          <w:rFonts w:ascii="SimSun" w:hAnsi="SimSun" w:eastAsia="宋体" w:cs="SimSun"/>
          <w:sz w:val="24"/>
        </w:rPr>
        <w:t>本文件将《厂东英雄传》目标技术路线中的美术需求拆解为可制作、可交付、可验收的资产清单。它既是内部制作顺序的依据，也可作为外包询价、任务拆分、资产入库和版本验收的共同标准。</w:t>
      </w:r>
    </w:p>
    <w:p>
      <w:pPr/>
      <w:r>
        <w:rPr>
          <w:rFonts w:ascii="SimSun" w:hAnsi="SimSun" w:eastAsia="宋体" w:cs="SimSun"/>
          <w:sz w:val="24"/>
        </w:rPr>
        <w:t>文档覆盖两个阶段：第一阶段是 V0 最小技术验证，只生产证明“2D 背景与 3D 人物能否自然融合”所需的最少素材；第二阶段是 Steam Demo，目标内容时长约 1.5 至 2 小时。未经 V0 通过，不批准全量角色、场景和 UI 资产生产。</w:t>
      </w:r>
    </w:p>
    <w:p>
      <w:pPr>
        <w:pStyle w:val="Heading2"/>
      </w:pPr>
      <w:r>
        <w:t>（一）使用对象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项目负责人：确认范围、优先级、外包边界和验收结果。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2D 美术：制作背景、立绘、UI、图标、特效序列与宣传图。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3D 美术：制作低模角色、装备、武器、绑定、动画和 Godot 导入文件。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程序与技术美术：锁定镜头、材质、模型尺度、挂点、导航和性能预算。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测试人员：依据视觉、技术和授权清单记录验收结果。</w:t>
      </w:r>
    </w:p>
    <w:p>
      <w:pPr>
        <w:pStyle w:val="Heading2"/>
      </w:pPr>
      <w:r>
        <w:t>（二）范围边界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包含：V0 验证资产、Steam Demo 正式资产、源文件与导出格式、命名规则、生产顺序和验收标准。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不包含：正式版全部岛屿、全部英雄、多人联机、MOD 工具、真实风帆模拟和百人以上战场。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数量均为当前计划值；涉及镜头、性能和骨骼的预算必须在 V0 结束后复核。</w:t>
      </w:r>
    </w:p>
    <w:p>
      <w:pPr>
        <w:pStyle w:val="LeadNote"/>
        <w:shd w:fill="F2F4F7"/>
      </w:pPr>
      <w:r>
        <w:rPr>
          <w:rFonts w:ascii="SimSun" w:hAnsi="SimSun" w:eastAsia="宋体" w:cs="SimSun"/>
          <w:b/>
          <w:color w:val="1F4D78"/>
          <w:sz w:val="24"/>
        </w:rPr>
        <w:t>执行门禁：先完成 V0，再扩大产能。不得因为已有概念图或临时素材而跳过镜头、遮挡、动作复用和性能验证。</w:t>
      </w:r>
    </w:p>
    <w:p>
      <w:pPr>
        <w:pStyle w:val="Heading1"/>
      </w:pPr>
      <w:r>
        <w:t>二、技术路线对美术的约束</w:t>
      </w:r>
    </w:p>
    <w:p>
      <w:pPr>
        <w:pStyle w:val="Heading2"/>
      </w:pPr>
      <w:r>
        <w:t>（一）目标画面结构</w:t>
      </w:r>
    </w:p>
    <w:p>
      <w:pPr/>
      <w:r>
        <w:rPr>
          <w:rFonts w:ascii="SimSun" w:hAnsi="SimSun" w:eastAsia="宋体" w:cs="SimSun"/>
          <w:sz w:val="24"/>
        </w:rPr>
        <w:t>目标路线为“2D 手绘背景 + 低模 3D 人物 + 固定正交 Camera3D + 卡通渲染 + 2D UI/立绘”。本地探索和战斗使用 Node3D 场景；海疆舆图、对话、菜单和管理界面继续使用 2D。</w:t>
      </w:r>
    </w:p>
    <w:p>
      <w:pPr/>
      <w:r>
        <w:rPr>
          <w:rFonts w:ascii="SimSun" w:hAnsi="SimSun" w:eastAsia="宋体" w:cs="SimSun"/>
          <w:sz w:val="24"/>
        </w:rPr>
        <w:t>背景与角色不是两个独立生产流程。镜头角度、相机正交尺寸、角色高度、脚底位置、阴影方向和前景遮挡必须先联合校准，再进入正式生产。</w:t>
      </w:r>
    </w:p>
    <w:p>
      <w:pPr>
        <w:pStyle w:val="Heading2"/>
      </w:pPr>
      <w:r>
        <w:t>（二）美术路线约束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450"/>
        <w:gridCol w:w="3500"/>
        <w:gridCol w:w="4076"/>
      </w:tblGrid>
      <w:tr>
        <w:trPr>
          <w:cantSplit/>
          <w:tblHeader w:val="true"/>
          <w:cantSplit/>
        </w:trPr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要素</w:t>
            </w:r>
          </w:p>
        </w:tc>
        <w:tc>
          <w:tcPr>
            <w:tcW w:type="dxa" w:w="3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目标做法</w:t>
            </w:r>
          </w:p>
        </w:tc>
        <w:tc>
          <w:tcPr>
            <w:tcW w:type="dxa" w:w="40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禁止或高风险做法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镜头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固定正交镜头；同类场景共用投影模板</w:t>
            </w:r>
          </w:p>
        </w:tc>
        <w:tc>
          <w:tcPr>
            <w:tcW w:type="dxa" w:w="40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自由旋转、每张地图单独调角色比例</w:t>
            </w:r>
          </w:p>
        </w:tc>
      </w:tr>
      <w:tr>
        <w:trPr>
          <w:cantSplit/>
        </w:trPr>
        <w:tc>
          <w:tcPr>
            <w:tcW w:type="dxa" w:w="14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背景</w:t>
            </w:r>
          </w:p>
        </w:tc>
        <w:tc>
          <w:tcPr>
            <w:tcW w:type="dxa" w:w="3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分层 2D 手绘：后景/地面/前景遮挡/碰撞参考</w:t>
            </w:r>
          </w:p>
        </w:tc>
        <w:tc>
          <w:tcPr>
            <w:tcW w:type="dxa" w:w="40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所有交互物画死在单张大图中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角色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低模、重剪影、少材质、统一骨骼</w:t>
            </w:r>
          </w:p>
        </w:tc>
        <w:tc>
          <w:tcPr>
            <w:tcW w:type="dxa" w:w="40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写实 PBR、高面数、每个兵种独立骨骼</w:t>
            </w:r>
          </w:p>
        </w:tc>
      </w:tr>
      <w:tr>
        <w:trPr>
          <w:cantSplit/>
        </w:trPr>
        <w:tc>
          <w:tcPr>
            <w:tcW w:type="dxa" w:w="14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光影</w:t>
            </w:r>
          </w:p>
        </w:tc>
        <w:tc>
          <w:tcPr>
            <w:tcW w:type="dxa" w:w="3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固定主光方向、统一脚底软影、弱实时光</w:t>
            </w:r>
          </w:p>
        </w:tc>
        <w:tc>
          <w:tcPr>
            <w:tcW w:type="dxa" w:w="40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昼夜实时光导致角色与背景色温漂移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动画</w:t>
            </w:r>
          </w:p>
        </w:tc>
        <w:tc>
          <w:tcPr>
            <w:tcW w:type="dxa" w:w="3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共享动作库；代码控制位移；简化披风骨骼</w:t>
            </w:r>
          </w:p>
        </w:tc>
        <w:tc>
          <w:tcPr>
            <w:tcW w:type="dxa" w:w="40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首版实时布料、为换色单位复制整套动画</w:t>
            </w:r>
          </w:p>
        </w:tc>
      </w:tr>
      <w:tr>
        <w:trPr>
          <w:cantSplit/>
        </w:trPr>
        <w:tc>
          <w:tcPr>
            <w:tcW w:type="dxa" w:w="14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</w:t>
            </w:r>
          </w:p>
        </w:tc>
        <w:tc>
          <w:tcPr>
            <w:tcW w:type="dxa" w:w="3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2D 宋风/军令文书语言，九宫格可缩放</w:t>
            </w:r>
          </w:p>
        </w:tc>
        <w:tc>
          <w:tcPr>
            <w:tcW w:type="dxa" w:w="40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将整张框体直接拉伸导致边框变形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三、美术风格基准</w:t>
      </w:r>
    </w:p>
    <w:p>
      <w:pPr>
        <w:pStyle w:val="Heading2"/>
      </w:pPr>
      <w:r>
        <w:t>（一）世界与色彩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题材：架空明代岭南海防，强调湿热海疆、军港、木质战船、火器与海商文化。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主色：朱红、黛青、暗金、灰石、船木褐、海水青蓝；背景适度降饱和，角色关键部位提高明度对比。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官军强调秩序、旗号和统一配色；海盗强调不对称、拼接、旧损和更强的暖色点缀。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固定镜头下先保证轮廓和阵营识别，再增加纹样、铆钉、织物等次级细节。</w:t>
      </w:r>
    </w:p>
    <w:p>
      <w:pPr>
        <w:pStyle w:val="Heading2"/>
      </w:pPr>
      <w:r>
        <w:t>（二）3D 人物表现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普通单位在正常游戏尺寸下应能一眼识别兵种、阵营和武器。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采用色阶卡通材质、克制的外轮廓和低饱和贴图，避免材质噪点与真实金属反射。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英雄允许增加头部、肩部、披风和武器辨识度，但不得破坏统一骨骼和性能预算。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角色脚底、武器挂点、受击点和特效点必须按统一命名输出。</w:t>
      </w:r>
    </w:p>
    <w:p>
      <w:pPr>
        <w:pStyle w:val="Heading2"/>
      </w:pPr>
      <w:r>
        <w:t>（三）2D 背景、立绘与 UI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背景按锁定投影绘制，地面纹理服务空间判断，不用高频细节干扰单位轮廓。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立绘采用水墨厚涂或国风半写实方向，统一透明边缘、色温、视线高度和人物占画比例。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UI 使用军令、舆图、印章、木牌和纸张意象，但功能层级必须优先于装饰。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按钮必须提供普通、悬停、按下、禁用四态；信息图标同时依赖形状与颜色，避免只靠色相区分。</w:t>
      </w:r>
    </w:p>
    <w:p>
      <w:pPr>
        <w:pStyle w:val="Heading1"/>
      </w:pPr>
      <w:r>
        <w:t>四、V0 最小技术验证资产</w:t>
      </w:r>
    </w:p>
    <w:p>
      <w:pPr/>
      <w:r>
        <w:rPr>
          <w:rFonts w:ascii="SimSun" w:hAnsi="SimSun" w:eastAsia="宋体" w:cs="SimSun"/>
          <w:sz w:val="24"/>
        </w:rPr>
        <w:t>V0 只回答画面融合、遮挡、动作复用、同屏性能和基础战斗反馈是否成立。允许使用灰模与许可明确的临时动作；所有 V0 资产必须可被后续正式资产直接替换。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700"/>
        <w:gridCol w:w="1400"/>
        <w:gridCol w:w="900"/>
        <w:gridCol w:w="2900"/>
        <w:gridCol w:w="3126"/>
      </w:tblGrid>
      <w:tr>
        <w:trPr>
          <w:cantSplit/>
          <w:tblHeader w:val="true"/>
          <w:cantSplit/>
        </w:trPr>
        <w:tc>
          <w:tcPr>
            <w:tcW w:type="dxa" w:w="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资产类别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最小数量</w:t>
            </w:r>
          </w:p>
        </w:tc>
        <w:tc>
          <w:tcPr>
            <w:tcW w:type="dxa" w:w="2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交付内容</w:t>
            </w:r>
          </w:p>
        </w:tc>
        <w:tc>
          <w:tcPr>
            <w:tcW w:type="dxa" w:w="31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验收重点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V0-01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主帅低模</w:t>
            </w:r>
          </w:p>
        </w:tc>
        <w:tc>
          <w:tcPr>
            <w:tcW w:type="dxa" w:w="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标准骨骼、简化披风、刀与指挥挂点</w:t>
            </w:r>
          </w:p>
        </w:tc>
        <w:tc>
          <w:tcPr>
            <w:tcW w:type="dxa" w:w="3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正常镜头下剪影清楚，脚底不漂浮</w:t>
            </w:r>
          </w:p>
        </w:tc>
      </w:tr>
      <w:tr>
        <w:trPr>
          <w:cantSplit/>
        </w:trPr>
        <w:tc>
          <w:tcPr>
            <w:tcW w:type="dxa" w:w="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V0-02</w:t>
            </w:r>
          </w:p>
        </w:tc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水兵低模</w:t>
            </w:r>
          </w:p>
        </w:tc>
        <w:tc>
          <w:tcPr>
            <w:tcW w:type="dxa" w:w="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2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模块化头盔、上衣、武器插槽；3 个配色变体</w:t>
            </w:r>
          </w:p>
        </w:tc>
        <w:tc>
          <w:tcPr>
            <w:tcW w:type="dxa" w:w="3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同骨骼复用动作，无需逐变体修动画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V0-03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海盗低模</w:t>
            </w:r>
          </w:p>
        </w:tc>
        <w:tc>
          <w:tcPr>
            <w:tcW w:type="dxa" w:w="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与水兵兼容骨骼；不对称服装</w:t>
            </w:r>
          </w:p>
        </w:tc>
        <w:tc>
          <w:tcPr>
            <w:tcW w:type="dxa" w:w="3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缩小后仍能和官军区分</w:t>
            </w:r>
          </w:p>
        </w:tc>
      </w:tr>
      <w:tr>
        <w:trPr>
          <w:cantSplit/>
        </w:trPr>
        <w:tc>
          <w:tcPr>
            <w:tcW w:type="dxa" w:w="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V0-04</w:t>
            </w:r>
          </w:p>
        </w:tc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武器</w:t>
            </w:r>
          </w:p>
        </w:tc>
        <w:tc>
          <w:tcPr>
            <w:tcW w:type="dxa" w:w="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4 件</w:t>
            </w:r>
          </w:p>
        </w:tc>
        <w:tc>
          <w:tcPr>
            <w:tcW w:type="dxa" w:w="2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刀、长枪、弓/弩、火铳</w:t>
            </w:r>
          </w:p>
        </w:tc>
        <w:tc>
          <w:tcPr>
            <w:tcW w:type="dxa" w:w="3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挂点方向统一，切换不穿手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V0-05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动作库</w:t>
            </w:r>
          </w:p>
        </w:tc>
        <w:tc>
          <w:tcPr>
            <w:tcW w:type="dxa" w:w="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约 10 组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待机、走、跑、两种攻击、受击、死亡、军令、装填、收势</w:t>
            </w:r>
          </w:p>
        </w:tc>
        <w:tc>
          <w:tcPr>
            <w:tcW w:type="dxa" w:w="3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三类单位共享且循环自然</w:t>
            </w:r>
          </w:p>
        </w:tc>
      </w:tr>
      <w:tr>
        <w:trPr>
          <w:cantSplit/>
        </w:trPr>
        <w:tc>
          <w:tcPr>
            <w:tcW w:type="dxa" w:w="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V0-06</w:t>
            </w:r>
          </w:p>
        </w:tc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甲板背景</w:t>
            </w:r>
          </w:p>
        </w:tc>
        <w:tc>
          <w:tcPr>
            <w:tcW w:type="dxa" w:w="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2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后景/地面/前景遮挡/碰撞参考四层</w:t>
            </w:r>
          </w:p>
        </w:tc>
        <w:tc>
          <w:tcPr>
            <w:tcW w:type="dxa" w:w="3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角色经过栏杆与船帆时遮挡正确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V0-07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卡通材质</w:t>
            </w:r>
          </w:p>
        </w:tc>
        <w:tc>
          <w:tcPr>
            <w:tcW w:type="dxa" w:w="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色阶、轮廓、阵营染色、受击闪白</w:t>
            </w:r>
          </w:p>
        </w:tc>
        <w:tc>
          <w:tcPr>
            <w:tcW w:type="dxa" w:w="3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色温与背景一致，轮廓不过粗</w:t>
            </w:r>
          </w:p>
        </w:tc>
      </w:tr>
      <w:tr>
        <w:trPr>
          <w:cantSplit/>
        </w:trPr>
        <w:tc>
          <w:tcPr>
            <w:tcW w:type="dxa" w:w="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V0-08</w:t>
            </w:r>
          </w:p>
        </w:tc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反馈素材</w:t>
            </w:r>
          </w:p>
        </w:tc>
        <w:tc>
          <w:tcPr>
            <w:tcW w:type="dxa" w:w="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3 套</w:t>
            </w:r>
          </w:p>
        </w:tc>
        <w:tc>
          <w:tcPr>
            <w:tcW w:type="dxa" w:w="2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脚底软影、友军选择圈、敌军选择圈</w:t>
            </w:r>
          </w:p>
        </w:tc>
        <w:tc>
          <w:tcPr>
            <w:tcW w:type="dxa" w:w="3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不会遮住脚点或混淆阵营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V0-09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战斗特效</w:t>
            </w:r>
          </w:p>
        </w:tc>
        <w:tc>
          <w:tcPr>
            <w:tcW w:type="dxa" w:w="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5 套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刀光、命中、弹道、枪烟、死亡反馈</w:t>
            </w:r>
          </w:p>
        </w:tc>
        <w:tc>
          <w:tcPr>
            <w:tcW w:type="dxa" w:w="3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可读性明确，30 单位时不过曝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（一）V0 交付顺序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1. 锁定正交镜头、角色尺度板、脚点和背景投影模板。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2. 完成主帅、水兵、海盗灰模以及统一骨骼。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3. 导入基础移动动作，验证 Godot 中的方向、尺寸和脚底贴合。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4. 拆分甲板背景，验证前景遮挡和碰撞参考。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5. 完成卡通材质、影子、选择圈和五套基础战斗特效。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6. 扩展到 30 至 40 个单位，记录视觉和性能结果。</w:t>
      </w:r>
    </w:p>
    <w:p>
      <w:pPr>
        <w:pStyle w:val="Heading2"/>
      </w:pPr>
      <w:r>
        <w:t>（二）V0 资产停止条件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两轮镜头校准后仍需按站位单独修改角色缩放：暂停背景生产，重做投影模板。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三类角色无法共享动作：暂停兵种扩展，先修正骨骼、挂点和导入规范。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30 个单位无法达到目标性能：先缩减材质、骨骼、更新频率和特效，再评估数量目标。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3D 角色与 2D 背景无法形成统一风格：优先修正材质、比例和阴影，不批量重画地图。</w:t>
      </w:r>
    </w:p>
    <w:p>
      <w:pPr>
        <w:pStyle w:val="LeadNote"/>
        <w:shd w:fill="F2F4F7"/>
      </w:pPr>
      <w:r>
        <w:rPr>
          <w:rFonts w:ascii="SimSun" w:hAnsi="SimSun" w:eastAsia="宋体" w:cs="SimSun"/>
          <w:b/>
          <w:color w:val="1F4D78"/>
          <w:sz w:val="24"/>
        </w:rPr>
        <w:t>V0 通过前不制作皇帝、内侍、完整英雄阵容、全部兵种、正式菜单和宣传图。</w:t>
      </w:r>
    </w:p>
    <w:p>
      <w:pPr>
        <w:pStyle w:val="Heading1"/>
      </w:pPr>
      <w:r>
        <w:t>五、Steam Demo 角色与单位资产</w:t>
      </w:r>
    </w:p>
    <w:p>
      <w:pPr/>
      <w:r>
        <w:rPr>
          <w:rFonts w:ascii="SimSun" w:hAnsi="SimSun" w:eastAsia="宋体" w:cs="SimSun"/>
          <w:sz w:val="24"/>
        </w:rPr>
        <w:t>以下数量服务 1.5 至 2 小时的公开 Demo，范围围绕皇宫受命、初到广州、水师操练、第一次海盗战和海疆展开。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700"/>
        <w:gridCol w:w="1350"/>
        <w:gridCol w:w="3300"/>
        <w:gridCol w:w="2676"/>
      </w:tblGrid>
      <w:tr>
        <w:trPr>
          <w:cantSplit/>
          <w:tblHeader w:val="true"/>
          <w:cantSplit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建议数量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主要变化</w:t>
            </w:r>
          </w:p>
        </w:tc>
        <w:tc>
          <w:tcPr>
            <w:tcW w:type="dxa" w:w="26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水师主帅</w:t>
            </w:r>
          </w:p>
        </w:tc>
        <w:tc>
          <w:tcPr>
            <w:tcW w:type="dxa" w:w="1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2 至 3 个装备阶段；独特头盔、披风、武器</w:t>
            </w:r>
          </w:p>
        </w:tc>
        <w:tc>
          <w:tcPr>
            <w:tcW w:type="dxa" w:w="2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正式模型与主角动作优先级最高</w:t>
            </w:r>
          </w:p>
        </w:tc>
      </w:tr>
      <w:tr>
        <w:trPr>
          <w:cantSplit/>
        </w:trPr>
        <w:tc>
          <w:tcPr>
            <w:tcW w:type="dxa" w:w="1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重要英雄/官员</w:t>
            </w:r>
          </w:p>
        </w:tc>
        <w:tc>
          <w:tcPr>
            <w:tcW w:type="dxa" w:w="1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约 5 套</w:t>
            </w:r>
          </w:p>
        </w:tc>
        <w:tc>
          <w:tcPr>
            <w:tcW w:type="dxa" w:w="33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独特头部、服饰、武器；身体模块可复用</w:t>
            </w:r>
          </w:p>
        </w:tc>
        <w:tc>
          <w:tcPr>
            <w:tcW w:type="dxa" w:w="2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包括广州相关核心人物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水师兵种</w:t>
            </w:r>
          </w:p>
        </w:tc>
        <w:tc>
          <w:tcPr>
            <w:tcW w:type="dxa" w:w="1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6 类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刀盾、长枪、弓弩、火铳、炮手、旗鼓</w:t>
            </w:r>
          </w:p>
        </w:tc>
        <w:tc>
          <w:tcPr>
            <w:tcW w:type="dxa" w:w="2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共享基础骨骼，兵种靠武器和剪影区分</w:t>
            </w:r>
          </w:p>
        </w:tc>
      </w:tr>
      <w:tr>
        <w:trPr>
          <w:cantSplit/>
        </w:trPr>
        <w:tc>
          <w:tcPr>
            <w:tcW w:type="dxa" w:w="1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海盗兵种</w:t>
            </w:r>
          </w:p>
        </w:tc>
        <w:tc>
          <w:tcPr>
            <w:tcW w:type="dxa" w:w="1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4 类</w:t>
            </w:r>
          </w:p>
        </w:tc>
        <w:tc>
          <w:tcPr>
            <w:tcW w:type="dxa" w:w="33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近战、远程、火器、精英</w:t>
            </w:r>
          </w:p>
        </w:tc>
        <w:tc>
          <w:tcPr>
            <w:tcW w:type="dxa" w:w="2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服装与官军形成明显对比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海盗首领</w:t>
            </w:r>
          </w:p>
        </w:tc>
        <w:tc>
          <w:tcPr>
            <w:tcW w:type="dxa" w:w="1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独特体型、武器和技能动作</w:t>
            </w:r>
          </w:p>
        </w:tc>
        <w:tc>
          <w:tcPr>
            <w:tcW w:type="dxa" w:w="2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序章战斗视觉高潮</w:t>
            </w:r>
          </w:p>
        </w:tc>
      </w:tr>
      <w:tr>
        <w:trPr>
          <w:cantSplit/>
        </w:trPr>
        <w:tc>
          <w:tcPr>
            <w:tcW w:type="dxa" w:w="1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城镇 NPC</w:t>
            </w:r>
          </w:p>
        </w:tc>
        <w:tc>
          <w:tcPr>
            <w:tcW w:type="dxa" w:w="1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4 至 6 个身体模板</w:t>
            </w:r>
          </w:p>
        </w:tc>
        <w:tc>
          <w:tcPr>
            <w:tcW w:type="dxa" w:w="33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通过头部、服装和配色形成约 12 个外观</w:t>
            </w:r>
          </w:p>
        </w:tc>
        <w:tc>
          <w:tcPr>
            <w:tcW w:type="dxa" w:w="2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不为每个路人制作独立骨骼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皇帝与内侍</w:t>
            </w:r>
          </w:p>
        </w:tc>
        <w:tc>
          <w:tcPr>
            <w:tcW w:type="dxa" w:w="1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各 1 套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皇帝坐姿/宣旨；内侍行走/躬身</w:t>
            </w:r>
          </w:p>
        </w:tc>
        <w:tc>
          <w:tcPr>
            <w:tcW w:type="dxa" w:w="2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优先服务皇宫剧情，不要求完整战斗动作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（一）模块化拆分建议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基础身体：成年男性标准体型、魁梧体型、瘦小体型；女性角色在剧情确认后再增补。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头部：脸型、发型、胡须、头巾、军盔分离；普通单位优先使用少量组合。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服装：内衬、上衣、护甲、肩部、腰带、披风分层；减少相互穿插区域。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武器：手持与背负挂点一致；刀、枪、弓弩、火铳、旗、鼓槌和火把分别建立类别。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阵营变体：通过基础色、边缘色和旗号纹样变化，不单纯使用全身染色。</w:t>
      </w:r>
    </w:p>
    <w:p>
      <w:pPr>
        <w:pStyle w:val="Heading2"/>
      </w:pPr>
      <w:r>
        <w:t>（二）动作资产清单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650"/>
        <w:gridCol w:w="3700"/>
        <w:gridCol w:w="2100"/>
        <w:gridCol w:w="1576"/>
      </w:tblGrid>
      <w:tr>
        <w:trPr>
          <w:cantSplit/>
          <w:tblHeader w:val="true"/>
          <w:cantSplit/>
        </w:trPr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动作组</w:t>
            </w:r>
          </w:p>
        </w:tc>
        <w:tc>
          <w:tcPr>
            <w:tcW w:type="dxa" w:w="3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动作内容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适用单位</w:t>
            </w:r>
          </w:p>
        </w:tc>
        <w:tc>
          <w:tcPr>
            <w:tcW w:type="dxa" w:w="15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优先级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基础移动</w:t>
            </w:r>
          </w:p>
        </w:tc>
        <w:tc>
          <w:tcPr>
            <w:tcW w:type="dxa" w:w="3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待机、行走、奔跑、起步、停步、左右转向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全部 3D 人物</w:t>
            </w:r>
          </w:p>
        </w:tc>
        <w:tc>
          <w:tcPr>
            <w:tcW w:type="dxa" w:w="1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通用受击</w:t>
            </w:r>
          </w:p>
        </w:tc>
        <w:tc>
          <w:tcPr>
            <w:tcW w:type="dxa" w:w="3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轻受击、重受击、击退、倒地、死亡</w:t>
            </w:r>
          </w:p>
        </w:tc>
        <w:tc>
          <w:tcPr>
            <w:tcW w:type="dxa" w:w="2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全部战斗单位</w:t>
            </w:r>
          </w:p>
        </w:tc>
        <w:tc>
          <w:tcPr>
            <w:tcW w:type="dxa" w:w="15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单手武器</w:t>
            </w:r>
          </w:p>
        </w:tc>
        <w:tc>
          <w:tcPr>
            <w:tcW w:type="dxa" w:w="3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横斩、纵斩、突刺、格挡、收势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主帅、刀盾、海盗近战</w:t>
            </w:r>
          </w:p>
        </w:tc>
        <w:tc>
          <w:tcPr>
            <w:tcW w:type="dxa" w:w="1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长兵器</w:t>
            </w:r>
          </w:p>
        </w:tc>
        <w:tc>
          <w:tcPr>
            <w:tcW w:type="dxa" w:w="3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警戒、直刺、横扫、受击恢复</w:t>
            </w:r>
          </w:p>
        </w:tc>
        <w:tc>
          <w:tcPr>
            <w:tcW w:type="dxa" w:w="2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长枪兵、海盗精英</w:t>
            </w:r>
          </w:p>
        </w:tc>
        <w:tc>
          <w:tcPr>
            <w:tcW w:type="dxa" w:w="15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弓弩</w:t>
            </w:r>
          </w:p>
        </w:tc>
        <w:tc>
          <w:tcPr>
            <w:tcW w:type="dxa" w:w="3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瞄准、装填、射击、放下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弓弩兵、海盗远程</w:t>
            </w:r>
          </w:p>
        </w:tc>
        <w:tc>
          <w:tcPr>
            <w:tcW w:type="dxa" w:w="1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火铳</w:t>
            </w:r>
          </w:p>
        </w:tc>
        <w:tc>
          <w:tcPr>
            <w:tcW w:type="dxa" w:w="3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瞄准、击发、后坐、装填、复位</w:t>
            </w:r>
          </w:p>
        </w:tc>
        <w:tc>
          <w:tcPr>
            <w:tcW w:type="dxa" w:w="2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火铳兵、海盗火器</w:t>
            </w:r>
          </w:p>
        </w:tc>
        <w:tc>
          <w:tcPr>
            <w:tcW w:type="dxa" w:w="15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军令</w:t>
            </w:r>
          </w:p>
        </w:tc>
        <w:tc>
          <w:tcPr>
            <w:tcW w:type="dxa" w:w="3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指向、集结、坚守、冲锋、胜利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主帅、英雄、旗鼓兵</w:t>
            </w:r>
          </w:p>
        </w:tc>
        <w:tc>
          <w:tcPr>
            <w:tcW w:type="dxa" w:w="1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剧情礼仪</w:t>
            </w:r>
          </w:p>
        </w:tc>
        <w:tc>
          <w:tcPr>
            <w:tcW w:type="dxa" w:w="37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抱拳、躬身、宣旨、领旨、坐姿、起身</w:t>
            </w:r>
          </w:p>
        </w:tc>
        <w:tc>
          <w:tcPr>
            <w:tcW w:type="dxa" w:w="2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主帅、皇帝、内侍、官员</w:t>
            </w:r>
          </w:p>
        </w:tc>
        <w:tc>
          <w:tcPr>
            <w:tcW w:type="dxa" w:w="15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专业操作</w:t>
            </w:r>
          </w:p>
        </w:tc>
        <w:tc>
          <w:tcPr>
            <w:tcW w:type="dxa" w:w="3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擂鼓、举旗、推炮、装填、点火、后坐反应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旗鼓兵、炮手</w:t>
            </w:r>
          </w:p>
        </w:tc>
        <w:tc>
          <w:tcPr>
            <w:tcW w:type="dxa" w:w="15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P2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六、Steam Demo 场景与环境资产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150"/>
        <w:gridCol w:w="1100"/>
        <w:gridCol w:w="3350"/>
        <w:gridCol w:w="2426"/>
      </w:tblGrid>
      <w:tr>
        <w:trPr>
          <w:cantSplit/>
          <w:tblHeader w:val="true"/>
          <w:cantSplit/>
        </w:trPr>
        <w:tc>
          <w:tcPr>
            <w:tcW w:type="dxa" w:w="21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场景</w:t>
            </w:r>
          </w:p>
        </w:tc>
        <w:tc>
          <w:tcPr>
            <w:tcW w:type="dxa" w:w="1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数量</w:t>
            </w:r>
          </w:p>
        </w:tc>
        <w:tc>
          <w:tcPr>
            <w:tcW w:type="dxa" w:w="3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分层要求</w:t>
            </w:r>
          </w:p>
        </w:tc>
        <w:tc>
          <w:tcPr>
            <w:tcW w:type="dxa" w:w="24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主要用途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皇宫正殿与庭院</w:t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后景/地面/屋檐遮挡/碰撞参考</w:t>
            </w:r>
          </w:p>
        </w:tc>
        <w:tc>
          <w:tcPr>
            <w:tcW w:type="dxa" w:w="24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序章受命；复用现有构图并统一风格</w:t>
            </w:r>
          </w:p>
        </w:tc>
      </w:tr>
      <w:tr>
        <w:trPr>
          <w:cantSplit/>
        </w:trPr>
        <w:tc>
          <w:tcPr>
            <w:tcW w:type="dxa" w:w="21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广州水师甲板</w:t>
            </w:r>
          </w:p>
        </w:tc>
        <w:tc>
          <w:tcPr>
            <w:tcW w:type="dxa" w:w="1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海天远景/甲板/船体前景/栏杆与船帆遮挡</w:t>
            </w:r>
          </w:p>
        </w:tc>
        <w:tc>
          <w:tcPr>
            <w:tcW w:type="dxa" w:w="24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M0 验证、操练、第一次战斗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岭南海疆舆图</w:t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张主图</w:t>
            </w:r>
          </w:p>
        </w:tc>
        <w:tc>
          <w:tcPr>
            <w:tcW w:type="dxa" w:w="3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海岸/岛屿/航线/天气与事件标记分层</w:t>
            </w:r>
          </w:p>
        </w:tc>
        <w:tc>
          <w:tcPr>
            <w:tcW w:type="dxa" w:w="24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航行、任务和势力状态</w:t>
            </w:r>
          </w:p>
        </w:tc>
      </w:tr>
      <w:tr>
        <w:trPr>
          <w:cantSplit/>
        </w:trPr>
        <w:tc>
          <w:tcPr>
            <w:tcW w:type="dxa" w:w="21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广州港局部</w:t>
            </w:r>
          </w:p>
        </w:tc>
        <w:tc>
          <w:tcPr>
            <w:tcW w:type="dxa" w:w="1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地面/建筑后层/摊位与屋檐前层</w:t>
            </w:r>
          </w:p>
        </w:tc>
        <w:tc>
          <w:tcPr>
            <w:tcW w:type="dxa" w:w="24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交涉、招募、贸易教学</w:t>
            </w:r>
          </w:p>
        </w:tc>
      </w:tr>
      <w:tr>
        <w:trPr>
          <w:cantSplit/>
        </w:trPr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海滩登陆战</w:t>
            </w:r>
          </w:p>
        </w:tc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海面/沙滩/礁石/植被遮挡</w:t>
            </w:r>
          </w:p>
        </w:tc>
        <w:tc>
          <w:tcPr>
            <w:tcW w:type="dxa" w:w="24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首次登陆战与地形教学</w:t>
            </w:r>
          </w:p>
        </w:tc>
      </w:tr>
      <w:tr>
        <w:trPr>
          <w:cantSplit/>
        </w:trPr>
        <w:tc>
          <w:tcPr>
            <w:tcW w:type="dxa" w:w="21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岛寨战场</w:t>
            </w:r>
          </w:p>
        </w:tc>
        <w:tc>
          <w:tcPr>
            <w:tcW w:type="dxa" w:w="11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套</w:t>
            </w:r>
          </w:p>
        </w:tc>
        <w:tc>
          <w:tcPr>
            <w:tcW w:type="dxa" w:w="3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地面/寨墙/门洞/塔楼前景</w:t>
            </w:r>
          </w:p>
        </w:tc>
        <w:tc>
          <w:tcPr>
            <w:tcW w:type="dxa" w:w="24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Demo 首领战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（一）环境复用素材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200"/>
        <w:gridCol w:w="1800"/>
        <w:gridCol w:w="5026"/>
      </w:tblGrid>
      <w:tr>
        <w:trPr>
          <w:cantSplit/>
          <w:tblHeader w:val="true"/>
          <w:cantSplit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建议数量</w:t>
            </w:r>
          </w:p>
        </w:tc>
        <w:tc>
          <w:tcPr>
            <w:tcW w:type="dxa" w:w="50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示例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海天远景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 件</w:t>
            </w:r>
          </w:p>
        </w:tc>
        <w:tc>
          <w:tcPr>
            <w:tcW w:type="dxa" w:w="50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天空、云层、岛屿剪影、远船、水面变化</w:t>
            </w:r>
          </w:p>
        </w:tc>
      </w:tr>
      <w:tr>
        <w:trPr>
          <w:cantSplit/>
        </w:trPr>
        <w:tc>
          <w:tcPr>
            <w:tcW w:type="dxa" w:w="2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军事道具</w:t>
            </w:r>
          </w:p>
        </w:tc>
        <w:tc>
          <w:tcPr>
            <w:tcW w:type="dxa" w:w="18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 件</w:t>
            </w:r>
          </w:p>
        </w:tc>
        <w:tc>
          <w:tcPr>
            <w:tcW w:type="dxa" w:w="50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火炮、战鼓、兵器架、旗杆、盾架、军令牌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后勤道具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 件</w:t>
            </w:r>
          </w:p>
        </w:tc>
        <w:tc>
          <w:tcPr>
            <w:tcW w:type="dxa" w:w="50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箱笼、木桶、绳索、粮袋、火药箱、灯笼</w:t>
            </w:r>
          </w:p>
        </w:tc>
      </w:tr>
      <w:tr>
        <w:trPr>
          <w:cantSplit/>
        </w:trPr>
        <w:tc>
          <w:tcPr>
            <w:tcW w:type="dxa" w:w="2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港口道具</w:t>
            </w:r>
          </w:p>
        </w:tc>
        <w:tc>
          <w:tcPr>
            <w:tcW w:type="dxa" w:w="18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8 至 12 件</w:t>
            </w:r>
          </w:p>
        </w:tc>
        <w:tc>
          <w:tcPr>
            <w:tcW w:type="dxa" w:w="50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摊位、吊机、渔网、锚、浮标、货架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自然道具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8 至 12 件</w:t>
            </w:r>
          </w:p>
        </w:tc>
        <w:tc>
          <w:tcPr>
            <w:tcW w:type="dxa" w:w="50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礁石、灌木、棕榈、漂木、浪花边缘</w:t>
            </w:r>
          </w:p>
        </w:tc>
      </w:tr>
    </w:tbl>
    <w:p>
      <w:pPr>
        <w:spacing w:before="0" w:after="40"/>
      </w:pPr>
    </w:p>
    <w:p>
      <w:pPr/>
      <w:r>
        <w:rPr>
          <w:rFonts w:ascii="SimSun" w:hAnsi="SimSun" w:eastAsia="宋体" w:cs="SimSun"/>
          <w:sz w:val="24"/>
        </w:rPr>
        <w:t>可交互火炮、战鼓、旗帜、箱笼和门扇不得全部绘制在背景中。需要动画、碰撞、状态变化或重复摆放的物件必须作为独立资产交付。</w:t>
      </w:r>
    </w:p>
    <w:p>
      <w:pPr>
        <w:pStyle w:val="Heading2"/>
      </w:pPr>
      <w:r>
        <w:t>（二）舰船相关资产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海疆舆图舰船图标：哨船、中型战船、旗舰、商船、海盗船，共 5 类，至少提供左右或八方向表现。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本地场景：Demo 只制作玩家可见甲板与船体边缘，不建立完整可驾驶 3D 舰船。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舰船识别：帆形、旗号、船首、炮位和船体配色必须形成层级差异。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后续扩展：若进入真实海战阶段，再单独立项制作舰船骨骼、帆索动画和受损状态。</w:t>
      </w:r>
    </w:p>
    <w:p>
      <w:pPr>
        <w:pStyle w:val="Heading1"/>
      </w:pPr>
      <w:r>
        <w:t>七、立绘、剧情 CG、UI 与图标</w:t>
      </w:r>
    </w:p>
    <w:p>
      <w:pPr>
        <w:pStyle w:val="Heading2"/>
      </w:pPr>
      <w:r>
        <w:t>（一）人物立绘与剧情图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350"/>
        <w:gridCol w:w="2000"/>
        <w:gridCol w:w="4676"/>
      </w:tblGrid>
      <w:tr>
        <w:trPr>
          <w:cantSplit/>
          <w:tblHeader w:val="true"/>
          <w:cantSplit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资产</w:t>
            </w:r>
          </w:p>
        </w:tc>
        <w:tc>
          <w:tcPr>
            <w:tcW w:type="dxa" w:w="2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建议数量</w:t>
            </w:r>
          </w:p>
        </w:tc>
        <w:tc>
          <w:tcPr>
            <w:tcW w:type="dxa" w:w="46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规格与要求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主要人物立绘</w:t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12 名</w:t>
            </w:r>
          </w:p>
        </w:tc>
        <w:tc>
          <w:tcPr>
            <w:tcW w:type="dxa" w:w="4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透明背景；统一视线高度与构图；每人至少 1 张</w:t>
            </w:r>
          </w:p>
        </w:tc>
      </w:tr>
      <w:tr>
        <w:trPr>
          <w:cantSplit/>
        </w:trPr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核心表情变体</w:t>
            </w:r>
          </w:p>
        </w:tc>
        <w:tc>
          <w:tcPr>
            <w:tcW w:type="dxa" w:w="2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每名核心角色 2 至 3 张</w:t>
            </w:r>
          </w:p>
        </w:tc>
        <w:tc>
          <w:tcPr>
            <w:tcW w:type="dxa" w:w="4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主帅、皇帝、内侍、县令、重要英雄、海盗首领优先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操练 CG</w:t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2 至 3 张</w:t>
            </w:r>
          </w:p>
        </w:tc>
        <w:tc>
          <w:tcPr>
            <w:tcW w:type="dxa" w:w="4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弓弩齐射、火炮操演、登舷列阵；可作为未完成实时演出的替代</w:t>
            </w:r>
          </w:p>
        </w:tc>
      </w:tr>
      <w:tr>
        <w:trPr>
          <w:cantSplit/>
        </w:trPr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序章结尾 CG</w:t>
            </w:r>
          </w:p>
        </w:tc>
        <w:tc>
          <w:tcPr>
            <w:tcW w:type="dxa" w:w="2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 张</w:t>
            </w:r>
          </w:p>
        </w:tc>
        <w:tc>
          <w:tcPr>
            <w:tcW w:type="dxa" w:w="4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舰队出航或“南疆水师初成”主视觉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加载/转场图</w:t>
            </w:r>
          </w:p>
        </w:tc>
        <w:tc>
          <w:tcPr>
            <w:tcW w:type="dxa" w:w="2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2 至 3 张</w:t>
            </w:r>
          </w:p>
        </w:tc>
        <w:tc>
          <w:tcPr>
            <w:tcW w:type="dxa" w:w="4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圣旨、海疆舆图、水墨海浪等主题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（二）UI 组件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品牌层：游戏 Logo、标题字、程序图标、主菜单背景。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通用层：按钮四态、页签、滚动条、复选框、滑杆、下拉框、提示框和鼠标指针。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剧情层：对话框、姓名牌、选项按钮、任务面板、交互提示、教学卡片。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战斗层：生命/士气、军令栏、技能冷却、队伍状态、目标提示、战斗结果。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管理层：海疆舆图、舰队、英雄、兵种、装备、资源、关系、任务、存读档和设置。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所有可拉伸框体使用九宫格；边角与边框不得因尺寸变化而变形。</w:t>
      </w:r>
    </w:p>
    <w:p>
      <w:pPr>
        <w:pStyle w:val="Heading2"/>
      </w:pPr>
      <w:r>
        <w:t>（三）图标规模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350"/>
        <w:gridCol w:w="1750"/>
        <w:gridCol w:w="4926"/>
      </w:tblGrid>
      <w:tr>
        <w:trPr>
          <w:cantSplit/>
          <w:tblHeader w:val="true"/>
          <w:cantSplit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图标类别</w:t>
            </w:r>
          </w:p>
        </w:tc>
        <w:tc>
          <w:tcPr>
            <w:tcW w:type="dxa" w:w="17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预计数量</w:t>
            </w:r>
          </w:p>
        </w:tc>
        <w:tc>
          <w:tcPr>
            <w:tcW w:type="dxa" w:w="49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示例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军令/技能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15 至 20</w:t>
            </w:r>
          </w:p>
        </w:tc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集结、坚守、集火、冲锋、齐射、治疗、增益</w:t>
            </w:r>
          </w:p>
        </w:tc>
      </w:tr>
      <w:tr>
        <w:trPr>
          <w:cantSplit/>
        </w:trPr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兵种/职业</w:t>
            </w:r>
          </w:p>
        </w:tc>
        <w:tc>
          <w:tcPr>
            <w:tcW w:type="dxa" w:w="17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</w:t>
            </w:r>
          </w:p>
        </w:tc>
        <w:tc>
          <w:tcPr>
            <w:tcW w:type="dxa" w:w="49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刀盾、长枪、弓弩、火铳、炮手、旗鼓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舰船/装备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</w:t>
            </w:r>
          </w:p>
        </w:tc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船型、火炮、护甲、帆装、武器</w:t>
            </w:r>
          </w:p>
        </w:tc>
      </w:tr>
      <w:tr>
        <w:trPr>
          <w:cantSplit/>
        </w:trPr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资源/状态</w:t>
            </w:r>
          </w:p>
        </w:tc>
        <w:tc>
          <w:tcPr>
            <w:tcW w:type="dxa" w:w="17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</w:t>
            </w:r>
          </w:p>
        </w:tc>
        <w:tc>
          <w:tcPr>
            <w:tcW w:type="dxa" w:w="49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银两、粮草、木材、军心、声望、威胁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任务/地图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</w:t>
            </w:r>
          </w:p>
        </w:tc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主线、支线、港口、岛屿、敌军、事件</w:t>
            </w:r>
          </w:p>
        </w:tc>
      </w:tr>
      <w:tr>
        <w:trPr>
          <w:cantSplit/>
        </w:trPr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系统/操作</w:t>
            </w:r>
          </w:p>
        </w:tc>
        <w:tc>
          <w:tcPr>
            <w:tcW w:type="dxa" w:w="17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10 至 15</w:t>
            </w:r>
          </w:p>
        </w:tc>
        <w:tc>
          <w:tcPr>
            <w:tcW w:type="dxa" w:w="49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设置、音量、保存、返回、键鼠提示</w:t>
            </w:r>
          </w:p>
        </w:tc>
      </w:tr>
    </w:tbl>
    <w:p>
      <w:pPr>
        <w:spacing w:before="0" w:after="40"/>
      </w:pPr>
    </w:p>
    <w:p>
      <w:pPr>
        <w:pStyle w:val="LeadNote"/>
        <w:shd w:fill="F2F4F7"/>
      </w:pPr>
      <w:r>
        <w:rPr>
          <w:rFonts w:ascii="SimSun" w:hAnsi="SimSun" w:eastAsia="宋体" w:cs="SimSun"/>
          <w:b/>
          <w:color w:val="1F4D78"/>
          <w:sz w:val="24"/>
        </w:rPr>
        <w:t>Demo 图标总量预计 60 至 90 枚。先完成信息架构和线框图，再绘制最终图标，避免 UI 功能变化导致整批返工。</w:t>
      </w:r>
    </w:p>
    <w:p>
      <w:pPr>
        <w:pStyle w:val="Heading1"/>
      </w:pPr>
      <w:r>
        <w:t>八、特效资产需求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650"/>
        <w:gridCol w:w="3200"/>
        <w:gridCol w:w="1000"/>
        <w:gridCol w:w="3176"/>
      </w:tblGrid>
      <w:tr>
        <w:trPr>
          <w:cantSplit/>
          <w:tblHeader w:val="true"/>
          <w:cantSplit/>
        </w:trPr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资产示例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优先级</w:t>
            </w:r>
          </w:p>
        </w:tc>
        <w:tc>
          <w:tcPr>
            <w:tcW w:type="dxa" w:w="31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验收重点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近战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刀光、刺击轨迹、命中、格挡、击退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  <w:tc>
          <w:tcPr>
            <w:tcW w:type="dxa" w:w="3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动作窗口与碰撞反馈一致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远程</w:t>
            </w:r>
          </w:p>
        </w:tc>
        <w:tc>
          <w:tcPr>
            <w:tcW w:type="dxa" w:w="3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箭矢/弩箭、火铳弹道、命中火花</w:t>
            </w:r>
          </w:p>
        </w:tc>
        <w:tc>
          <w:tcPr>
            <w:tcW w:type="dxa" w:w="1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  <w:tc>
          <w:tcPr>
            <w:tcW w:type="dxa" w:w="31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高速移动时仍可读，不形成视觉长线污染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火炮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炮口火焰、浓烟、后坐尘、落点爆炸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  <w:tc>
          <w:tcPr>
            <w:tcW w:type="dxa" w:w="3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亮度受控，不能遮住整支队伍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环境</w:t>
            </w:r>
          </w:p>
        </w:tc>
        <w:tc>
          <w:tcPr>
            <w:tcW w:type="dxa" w:w="3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海浪、水花、泡沫、尘土、旗帜飘动</w:t>
            </w:r>
          </w:p>
        </w:tc>
        <w:tc>
          <w:tcPr>
            <w:tcW w:type="dxa" w:w="1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P1</w:t>
            </w:r>
          </w:p>
        </w:tc>
        <w:tc>
          <w:tcPr>
            <w:tcW w:type="dxa" w:w="31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循环自然，风向与背景一致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军令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范围圈、箭头、集结点、士气波纹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P0</w:t>
            </w:r>
          </w:p>
        </w:tc>
        <w:tc>
          <w:tcPr>
            <w:tcW w:type="dxa" w:w="31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友军、敌军、不可达区域明确</w:t>
            </w:r>
          </w:p>
        </w:tc>
      </w:tr>
      <w:tr>
        <w:trPr>
          <w:cantSplit/>
        </w:trPr>
        <w:tc>
          <w:tcPr>
            <w:tcW w:type="dxa" w:w="16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UI/转场</w:t>
            </w:r>
          </w:p>
        </w:tc>
        <w:tc>
          <w:tcPr>
            <w:tcW w:type="dxa" w:w="3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任务更新、军令落印、水墨淡出、结果评级</w:t>
            </w:r>
          </w:p>
        </w:tc>
        <w:tc>
          <w:tcPr>
            <w:tcW w:type="dxa" w:w="1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P2</w:t>
            </w:r>
          </w:p>
        </w:tc>
        <w:tc>
          <w:tcPr>
            <w:tcW w:type="dxa" w:w="31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节奏简洁，不阻断操作</w:t>
            </w:r>
          </w:p>
        </w:tc>
      </w:tr>
    </w:tbl>
    <w:p>
      <w:pPr>
        <w:spacing w:before="0" w:after="40"/>
      </w:pPr>
    </w:p>
    <w:p>
      <w:pPr/>
      <w:r>
        <w:rPr>
          <w:rFonts w:ascii="SimSun" w:hAnsi="SimSun" w:eastAsia="宋体" w:cs="SimSun"/>
          <w:sz w:val="24"/>
        </w:rPr>
        <w:t>特效需要在 30 个单位同屏的情况下验收。单个效果看起来漂亮但在群战中遮挡单位、产生大面积过曝或显著降低帧率，视为不合格。</w:t>
      </w:r>
    </w:p>
    <w:p>
      <w:pPr>
        <w:pStyle w:val="Heading1"/>
      </w:pPr>
      <w:r>
        <w:t>九、3D 资产交付规范</w:t>
      </w:r>
    </w:p>
    <w:p>
      <w:pPr>
        <w:pStyle w:val="Heading2"/>
      </w:pPr>
      <w:r>
        <w:t>（一）模型、骨骼与坐标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单位按真实尺度导出，约定 1 Godot 单位等于 1 米；角色原点位于脚底中心。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普通单位统一使用经 V0 确认的基础骨骼；新增骨骼、缩放骨骼或改变层级必须说明原因。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默认前向、上方向、单位尺度和导入预设在 V0 固化，禁止每个模型进入 Godot 后单独旋转修正。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武器、左右手、背部、头部、脚底、受击与特效使用统一 Marker3D 挂点命名。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移动由代码控制，基础行走和战斗动作默认不使用 Root Motion。</w:t>
      </w:r>
    </w:p>
    <w:p>
      <w:pPr>
        <w:pStyle w:val="Heading2"/>
      </w:pPr>
      <w:r>
        <w:t>（二）面数、纹理与材质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400"/>
        <w:gridCol w:w="2500"/>
        <w:gridCol w:w="4126"/>
      </w:tblGrid>
      <w:tr>
        <w:trPr>
          <w:cantSplit/>
          <w:tblHeader w:val="true"/>
          <w:cantSplit/>
        </w:trP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V0 建议值</w:t>
            </w:r>
          </w:p>
        </w:tc>
        <w:tc>
          <w:tcPr>
            <w:tcW w:type="dxa" w:w="41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普通士兵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约 1,500 至 3,000 三角面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以 30 单位性能验证为最终依据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英雄/首领</w:t>
            </w:r>
          </w:p>
        </w:tc>
        <w:tc>
          <w:tcPr>
            <w:tcW w:type="dxa" w:w="2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约 3,000 至 6,000 三角面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资源优先投向头部、肩部和武器剪影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普通单位贴图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512 至 1024 像素图集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固定镜头下不制作不可见高频细节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普通单位材质</w:t>
            </w:r>
          </w:p>
        </w:tc>
        <w:tc>
          <w:tcPr>
            <w:tcW w:type="dxa" w:w="2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每单位 1 至 2 个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优先共享材质和阵营参数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源文件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.blend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保留可编辑网格、骨骼、权重和动作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Godot 交付</w:t>
            </w:r>
          </w:p>
        </w:tc>
        <w:tc>
          <w:tcPr>
            <w:tcW w:type="dxa" w:w="25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sz w:val="21"/>
              </w:rPr>
              <w:t>.glb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附纹理、材质说明和导入检查截图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（三）动画交付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动作命名包含角色骨骼类型、动作类别和序号，循环动作明确标记 Loop。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攻击动画需标记准备、命中、恢复三个阶段，便于程序设置判定窗口。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装填、擂鼓、点火等多段动作需保持手部与道具挂点稳定。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披风、长袍和旗帜首版采用简化骨骼动画；不依赖实时布料作为必需表现。</w:t>
      </w:r>
    </w:p>
    <w:p>
      <w:pPr>
        <w:pStyle w:val="Heading1"/>
      </w:pPr>
      <w:r>
        <w:t>十、2D 资产交付规范</w:t>
      </w:r>
    </w:p>
    <w:p>
      <w:pPr>
        <w:pStyle w:val="Heading2"/>
      </w:pPr>
      <w:r>
        <w:t>（一）背景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锁定正交镜头、相机尺寸、角色身高和脚点后再开始正式背景。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每张地图至少交付后景/地面、前景遮挡、碰撞参考三类图层；甲板验证场景增加海天远景层。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运行时避免单张超大 8K 纹理；按场景构图或区块拆分，单纹理预算由 V0 显存测试确认。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现有 1344×896 背景仅用于 V0；正式 Demo 以 1920×1080 构图验收并保留更高分辨率源文件。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透明边缘不得出现白边、脏边或半透明压暗；前景遮挡层需提供独立预览图。</w:t>
      </w:r>
    </w:p>
    <w:p>
      <w:pPr>
        <w:pStyle w:val="Heading2"/>
      </w:pPr>
      <w:r>
        <w:t>（二）立绘、UI 与图标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立绘使用透明 PNG 交付，保留分层源文件；人物不得因适配左右位置而被水平压缩。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UI 框体使用九宫格并给出边距标记；按钮四态尺寸和对齐点完全一致。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图标提供统一画布、视觉安全区和描边粗细；小尺寸下必须检查轮廓清晰度。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源文件使用 PSD/KRA/Aseprite 等分层格式，运行时导出 PNG 或经质量验证的 WebP。</w:t>
      </w:r>
    </w:p>
    <w:p>
      <w:pPr>
        <w:pStyle w:val="Heading1"/>
      </w:pPr>
      <w:r>
        <w:t>十一、命名、目录与资产登记</w:t>
      </w:r>
    </w:p>
    <w:p>
      <w:pPr>
        <w:pStyle w:val="Heading2"/>
      </w:pPr>
      <w:r>
        <w:t>（一）建议命名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900"/>
        <w:gridCol w:w="3000"/>
        <w:gridCol w:w="4126"/>
      </w:tblGrid>
      <w:tr>
        <w:trPr>
          <w:cantSplit/>
          <w:tblHeader w:val="true"/>
          <w:cantSplit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资产类型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命名格式</w:t>
            </w:r>
          </w:p>
        </w:tc>
        <w:tc>
          <w:tcPr>
            <w:tcW w:type="dxa" w:w="41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示例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角色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chr_阵营_兵种_变体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chr_navy_swordsman_a.glb</w:t>
            </w:r>
          </w:p>
        </w:tc>
      </w:tr>
      <w:tr>
        <w:trPr>
          <w:cantSplit/>
        </w:trPr>
        <w:tc>
          <w:tcPr>
            <w:tcW w:type="dxa" w:w="1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英雄</w:t>
            </w:r>
          </w:p>
        </w:tc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hero_角色名_阶段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hero_commander_stage01.glb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动作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anim_骨骼_动作_序号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anim_humanoid_attack_slash_01.glb</w:t>
            </w:r>
          </w:p>
        </w:tc>
      </w:tr>
      <w:tr>
        <w:trPr>
          <w:cantSplit/>
        </w:trPr>
        <w:tc>
          <w:tcPr>
            <w:tcW w:type="dxa" w:w="1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背景</w:t>
            </w:r>
          </w:p>
        </w:tc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bg_场景_图层_版本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bg_deck_ground_v01.png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道具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prop_类别_名称_变体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prop_artillery_cannon_a.glb</w:t>
            </w:r>
          </w:p>
        </w:tc>
      </w:tr>
      <w:tr>
        <w:trPr>
          <w:cantSplit/>
        </w:trPr>
        <w:tc>
          <w:tcPr>
            <w:tcW w:type="dxa" w:w="1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</w:t>
            </w:r>
          </w:p>
        </w:tc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ui_模块_用途_状态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ui_button_dialogue_hover.png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图标</w:t>
            </w:r>
          </w:p>
        </w:tc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icon_类别_名称</w:t>
            </w:r>
          </w:p>
        </w:tc>
        <w:tc>
          <w:tcPr>
            <w:tcW w:type="dxa" w:w="4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icon_order_rally.png</w:t>
            </w:r>
          </w:p>
        </w:tc>
      </w:tr>
      <w:tr>
        <w:trPr>
          <w:cantSplit/>
        </w:trPr>
        <w:tc>
          <w:tcPr>
            <w:tcW w:type="dxa" w:w="19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特效</w:t>
            </w:r>
          </w:p>
        </w:tc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vfx_类别_名称_序号</w:t>
            </w:r>
          </w:p>
        </w:tc>
        <w:tc>
          <w:tcPr>
            <w:tcW w:type="dxa" w:w="4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vfx_firearm_muzzle_01.tres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（二）目录原则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源文件与运行时导出文件分开管理；Godot 项目内只放运行时需要的版本和授权记录。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角色、动作、武器、场景、UI、VFX 分目录；禁止将多个模块的临时文件堆在同一层。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Godot 自动生成的 .import 和缓存不作为外包交付物，也不复制到其他项目。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进入批量生产前评估 Git LFS，用于 .blend、.glb、大型分层源图和无损音频。</w:t>
      </w:r>
    </w:p>
    <w:p>
      <w:pPr>
        <w:pStyle w:val="Heading2"/>
      </w:pPr>
      <w:r>
        <w:t>（三）资产登记字段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2400"/>
        <w:gridCol w:w="6626"/>
      </w:tblGrid>
      <w:tr>
        <w:trPr>
          <w:cantSplit/>
          <w:tblHeader w:val="true"/>
          <w:cantSplit/>
        </w:trPr>
        <w:tc>
          <w:tcPr>
            <w:tcW w:type="dxa" w:w="2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66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Asset ID</w:t>
            </w:r>
          </w:p>
        </w:tc>
        <w:tc>
          <w:tcPr>
            <w:tcW w:type="dxa" w:w="66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稳定编号；文件改名时仍用于任务、验收和存档引用追踪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名称/类别</w:t>
            </w:r>
          </w:p>
        </w:tc>
        <w:tc>
          <w:tcPr>
            <w:tcW w:type="dxa" w:w="66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资产的人类可读名称与角色、场景、UI、VFX 等分类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负责人/来源</w:t>
            </w:r>
          </w:p>
        </w:tc>
        <w:tc>
          <w:tcPr>
            <w:tcW w:type="dxa" w:w="66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内部、外包、购买、生成或第三方素材来源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状态</w:t>
            </w:r>
          </w:p>
        </w:tc>
        <w:tc>
          <w:tcPr>
            <w:tcW w:type="dxa" w:w="66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待设计、制作中、待验收、返修、已通过、已废弃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版本/路径</w:t>
            </w:r>
          </w:p>
        </w:tc>
        <w:tc>
          <w:tcPr>
            <w:tcW w:type="dxa" w:w="66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源文件版本、运行时文件路径和最近提交</w:t>
            </w:r>
          </w:p>
        </w:tc>
      </w:tr>
      <w:tr>
        <w:trPr>
          <w:cantSplit/>
        </w:trPr>
        <w:tc>
          <w:tcPr>
            <w:tcW w:type="dxa" w:w="2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许可</w:t>
            </w:r>
          </w:p>
        </w:tc>
        <w:tc>
          <w:tcPr>
            <w:tcW w:type="dxa" w:w="66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作者、许可证、购买凭证、可商用范围和署名要求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验收记录</w:t>
            </w:r>
          </w:p>
        </w:tc>
        <w:tc>
          <w:tcPr>
            <w:tcW w:type="dxa" w:w="66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视觉、技术、性能和引擎导入结果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十二、生产顺序与优先级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1400"/>
        <w:gridCol w:w="3300"/>
        <w:gridCol w:w="2200"/>
        <w:gridCol w:w="2126"/>
      </w:tblGrid>
      <w:tr>
        <w:trPr>
          <w:cantSplit/>
          <w:tblHeader w:val="true"/>
          <w:cantSplit/>
        </w:trPr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阶段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优先资产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产出目的</w:t>
            </w:r>
          </w:p>
        </w:tc>
        <w:tc>
          <w:tcPr>
            <w:tcW w:type="dxa" w:w="212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门禁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P0 / M0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镜头模板、3 个灰模角色、统一骨骼、甲板分层、基础材质与 5 套特效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证明混合 2.5D 管线</w:t>
            </w:r>
          </w:p>
        </w:tc>
        <w:tc>
          <w:tcPr>
            <w:tcW w:type="dxa" w:w="2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视觉、遮挡、动作复用和性能全部通过</w:t>
            </w:r>
          </w:p>
        </w:tc>
      </w:tr>
      <w:tr>
        <w:trPr>
          <w:cantSplit/>
        </w:trPr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P1 / 战斗原型</w:t>
            </w:r>
          </w:p>
        </w:tc>
        <w:tc>
          <w:tcPr>
            <w:tcW w:type="dxa" w:w="33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主帅正式方向稿、6 类水师剪影、4 类海盗剪影、军令 UI</w:t>
            </w:r>
          </w:p>
        </w:tc>
        <w:tc>
          <w:tcPr>
            <w:tcW w:type="dxa" w:w="2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证明带队战斗好玩</w:t>
            </w:r>
          </w:p>
        </w:tc>
        <w:tc>
          <w:tcPr>
            <w:tcW w:type="dxa" w:w="2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盲测玩家能理解并使用军令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P2 / 序章竖切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皇帝/内侍、广州港、海滩、岛寨、核心立绘、基础菜单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完成 45 至 60 分钟流程</w:t>
            </w:r>
          </w:p>
        </w:tc>
        <w:tc>
          <w:tcPr>
            <w:tcW w:type="dxa" w:w="21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新玩家无指导可通关</w:t>
            </w:r>
          </w:p>
        </w:tc>
      </w:tr>
      <w:tr>
        <w:trPr>
          <w:cantSplit/>
        </w:trPr>
        <w:tc>
          <w:tcPr>
            <w:tcW w:type="dxa" w:w="14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P3 / Steam Demo</w:t>
            </w:r>
          </w:p>
        </w:tc>
        <w:tc>
          <w:tcPr>
            <w:tcW w:type="dxa" w:w="33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完整 UI、10 至 12 名立绘、CG、宣传图、剩余特效和环境变体</w:t>
            </w:r>
          </w:p>
        </w:tc>
        <w:tc>
          <w:tcPr>
            <w:tcW w:type="dxa" w:w="22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扩充至 1.5 至 2 小时</w:t>
            </w:r>
          </w:p>
        </w:tc>
        <w:tc>
          <w:tcPr>
            <w:tcW w:type="dxa" w:w="212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稳定性、性能、授权和分辨率验收通过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十三、资产验收清单</w:t>
      </w:r>
    </w:p>
    <w:p>
      <w:pPr>
        <w:pStyle w:val="Heading2"/>
      </w:pPr>
      <w:r>
        <w:t>（一）视觉验收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角色与背景的比例、脚点、主光方向、阴影长度和色温一致。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正常游戏尺寸下可以辨识阵营、兵种和英雄，不依赖放大查看细节。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前景遮挡路线无持续穿帮、漂浮、透明边缘白边或错误层级。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30 个单位同屏时，特效、选择圈和军令范围不会遮住关键动作。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UI 的文字安全区、按钮四态、九宫格边界和不同分辨率适配正确。</w:t>
      </w:r>
    </w:p>
    <w:p>
      <w:pPr>
        <w:pStyle w:val="Heading2"/>
      </w:pPr>
      <w:r>
        <w:t>（二）技术验收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模型朝向、尺度、原点、骨骼、材质、动画和 Marker3D 挂点符合规范。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源文件与 .glb 可打开，缺失贴图、外部绝对路径和异常缩放已清理。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同一动作库能驱动约定单位变体，不为换色单位复制动作。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背景层尺寸、透明区域、碰撞参考和前景遮挡预览一致。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Godot 导入无报错，资产重新导入后结果稳定。</w:t>
      </w:r>
    </w:p>
    <w:p>
      <w:pPr>
        <w:pStyle w:val="Heading2"/>
      </w:pPr>
      <w:r>
        <w:t>（三）性能与授权验收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1080p、30 个活跃单位的 V0 场景达到项目计划规定的性能门槛。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贴图、材质、骨骼和粒子数量未突破验证后的资产预算。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每项购买、生成、外包和第三方素材均保存来源、作者、许可和商用证明。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未经授权或来源无法追溯的素材不得进入公开构建。</w:t>
      </w:r>
    </w:p>
    <w:p>
      <w:pPr>
        <w:pStyle w:val="Heading2"/>
      </w:pPr>
      <w:r>
        <w:t>（四）直接退回条件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只提供渲染图，不提供约定源文件和运行时导出文件。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模型需在 Godot 中逐个手调旋转、缩放或骨骼才能正常使用。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UI 边框、透明通道或字体安全区在实际尺寸下明显变形。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资产缺少来源、许可或外包交付声明。</w:t>
      </w:r>
    </w:p>
    <w:p>
      <w:pPr>
        <w:pStyle w:val="ListBullet"/>
      </w:pPr>
      <w:r>
        <w:rPr>
          <w:rFonts w:ascii="SimSun" w:hAnsi="SimSun" w:eastAsia="宋体" w:cs="SimSun"/>
          <w:sz w:val="24"/>
        </w:rPr>
        <w:t>未经确认擅自提高面数、纹理尺寸、材质数量或增加独立骨骼。</w:t>
      </w:r>
    </w:p>
    <w:p>
      <w:pPr>
        <w:pStyle w:val="Heading1"/>
      </w:pPr>
      <w:r>
        <w:t>十四、待锁定的美术技术参数</w:t>
      </w:r>
    </w:p>
    <w:p>
      <w:pPr/>
      <w:r>
        <w:rPr>
          <w:rFonts w:ascii="SimSun" w:hAnsi="SimSun" w:eastAsia="宋体" w:cs="SimSun"/>
          <w:sz w:val="24"/>
        </w:rPr>
        <w:t>以下参数必须在 M0 第一次评审时形成书面结论。未锁定前，只允许制作灰模、风格探索图和可替换测试素材。</w:t>
      </w:r>
    </w:p>
    <w:tbl>
      <w:tblPr>
        <w:tblStyle w:val="TableGrid"/>
        <w:tblW w:type="dxa" w:w="9026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</w:tblPr>
      <w:tblGrid>
        <w:gridCol w:w="3000"/>
        <w:gridCol w:w="2350"/>
        <w:gridCol w:w="3676"/>
      </w:tblGrid>
      <w:tr>
        <w:trPr>
          <w:cantSplit/>
          <w:tblHeader w:val="true"/>
          <w:cantSplit/>
        </w:trP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当前状态</w:t>
            </w:r>
          </w:p>
        </w:tc>
        <w:tc>
          <w:tcPr>
            <w:tcW w:type="dxa" w:w="36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ind w:firstLine="0"/>
              <w:jc w:val="center"/>
            </w:pPr>
            <w:r>
              <w:rPr>
                <w:rFonts w:ascii="SimSun" w:hAnsi="SimSun" w:eastAsia="宋体" w:cs="SimSun"/>
                <w:b/>
                <w:color w:val="000000"/>
                <w:sz w:val="21"/>
              </w:rPr>
              <w:t>锁定输出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正交镜头角度与尺寸</w:t>
            </w:r>
          </w:p>
        </w:tc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 M0 校准</w:t>
            </w:r>
          </w:p>
        </w:tc>
        <w:tc>
          <w:tcPr>
            <w:tcW w:type="dxa" w:w="3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Camera3D 预设与对照截图</w:t>
            </w:r>
          </w:p>
        </w:tc>
      </w:tr>
      <w:tr>
        <w:trPr>
          <w:cantSplit/>
        </w:trPr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角色标准高度与脚点</w:t>
            </w:r>
          </w:p>
        </w:tc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建议 1 单位 = 1 米</w:t>
            </w:r>
          </w:p>
        </w:tc>
        <w:tc>
          <w:tcPr>
            <w:tcW w:type="dxa" w:w="3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尺度板、站位模板与原点规范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卡通材质与轮廓</w:t>
            </w:r>
          </w:p>
        </w:tc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方向已定，参数未定</w:t>
            </w:r>
          </w:p>
        </w:tc>
        <w:tc>
          <w:tcPr>
            <w:tcW w:type="dxa" w:w="3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材质预设、三种光照对照</w:t>
            </w:r>
          </w:p>
        </w:tc>
      </w:tr>
      <w:tr>
        <w:trPr>
          <w:cantSplit/>
        </w:trPr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基础骨骼与挂点</w:t>
            </w:r>
          </w:p>
        </w:tc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待灰模验证</w:t>
            </w:r>
          </w:p>
        </w:tc>
        <w:tc>
          <w:tcPr>
            <w:tcW w:type="dxa" w:w="3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骨骼清单、Marker3D 命名表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模型/纹理预算</w:t>
            </w:r>
          </w:p>
        </w:tc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当前为建议值</w:t>
            </w:r>
          </w:p>
        </w:tc>
        <w:tc>
          <w:tcPr>
            <w:tcW w:type="dxa" w:w="3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30/40 单位性能报告后固化</w:t>
            </w:r>
          </w:p>
        </w:tc>
      </w:tr>
      <w:tr>
        <w:trPr>
          <w:cantSplit/>
        </w:trPr>
        <w:tc>
          <w:tcPr>
            <w:tcW w:type="dxa" w:w="300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背景分层模板</w:t>
            </w:r>
          </w:p>
        </w:tc>
        <w:tc>
          <w:tcPr>
            <w:tcW w:type="dxa" w:w="2350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待拆分甲板背景</w:t>
            </w:r>
          </w:p>
        </w:tc>
        <w:tc>
          <w:tcPr>
            <w:tcW w:type="dxa" w:w="3676"/>
            <w:shd w:fill="F7F9F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标准图层结构与透明边缘示例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UI 设计系统</w:t>
            </w:r>
          </w:p>
        </w:tc>
        <w:tc>
          <w:tcPr>
            <w:tcW w:type="dxa" w:w="23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尚未开始</w:t>
            </w:r>
          </w:p>
        </w:tc>
        <w:tc>
          <w:tcPr>
            <w:tcW w:type="dxa" w:w="36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  <w:ind w:firstLine="0"/>
              <w:jc w:val="left"/>
            </w:pPr>
            <w:r>
              <w:rPr>
                <w:rFonts w:ascii="SimSun" w:hAnsi="SimSun" w:eastAsia="宋体" w:cs="SimSun"/>
                <w:sz w:val="21"/>
              </w:rPr>
              <w:t>色板、字号、边距、组件和图标规范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十五、下一步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1. 确认本需求书中的 V0 范围、中文排版规范和 Steam Demo 数量级。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2. 为 M0 建立独立 change record、worktree、任务清单和两周排期。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3. 先制作镜头尺度板、主帅/水兵/海盗灰模和甲板分层测试，不制作正式全套角色。</w:t>
      </w:r>
    </w:p>
    <w:p>
      <w:pPr>
        <w:ind w:left="480" w:hanging="480"/>
        <w:jc w:val="left"/>
      </w:pPr>
      <w:r>
        <w:rPr>
          <w:rFonts w:ascii="SimSun" w:hAnsi="SimSun" w:eastAsia="宋体" w:cs="SimSun"/>
          <w:sz w:val="24"/>
        </w:rPr>
        <w:t>4. M0 结束后以性能、视觉和盲测结果修订本需求书，再启动外包询价和批量生产。</w:t>
      </w:r>
    </w:p>
    <w:p>
      <w:pPr>
        <w:pStyle w:val="LeadNote"/>
        <w:shd w:fill="F2F4F7"/>
      </w:pPr>
      <w:r>
        <w:rPr>
          <w:rFonts w:ascii="SimSun" w:hAnsi="SimSun" w:eastAsia="宋体" w:cs="SimSun"/>
          <w:b/>
          <w:color w:val="1F4D78"/>
          <w:sz w:val="24"/>
        </w:rPr>
        <w:t>最终原则：美术资产必须服务可玩的战斗与清晰的信息反馈。任何高成本素材，只有在对应玩法、镜头和技术门槛验证通过后才进入正式生产。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SimSun" w:hAnsi="SimSun" w:eastAsia="宋体" w:cs="SimSun"/>
        <w:color w:val="555555"/>
        <w:sz w:val="18"/>
      </w:rPr>
      <w:t xml:space="preserve">第 </w:t>
    </w:r>
    <w:r>
      <w:rPr>
        <w:rFonts w:ascii="SimSun" w:hAnsi="SimSun" w:eastAsia="宋体" w:cs="SimSun"/>
        <w:color w:val="555555"/>
        <w:sz w:val="18"/>
      </w:rPr>
      <w:fldChar w:fldCharType="begin"/>
    </w:r>
    <w:r>
      <w:rPr>
        <w:rFonts w:ascii="SimSun" w:hAnsi="SimSun" w:eastAsia="宋体" w:cs="SimSun"/>
        <w:color w:val="555555"/>
        <w:sz w:val="18"/>
      </w:rPr>
      <w:instrText xml:space="preserve"> PAGE </w:instrText>
    </w:r>
    <w:r>
      <w:rPr>
        <w:rFonts w:ascii="SimSun" w:hAnsi="SimSun" w:eastAsia="宋体" w:cs="SimSun"/>
        <w:color w:val="555555"/>
        <w:sz w:val="18"/>
      </w:rPr>
      <w:fldChar w:fldCharType="separate"/>
    </w:r>
    <w:r>
      <w:rPr>
        <w:rFonts w:ascii="SimSun" w:hAnsi="SimSun" w:eastAsia="宋体" w:cs="SimSun"/>
        <w:color w:val="555555"/>
        <w:sz w:val="18"/>
      </w:rPr>
      <w:t>1</w:t>
    </w:r>
    <w:r>
      <w:rPr>
        <w:rFonts w:ascii="SimSun" w:hAnsi="SimSun" w:eastAsia="宋体" w:cs="SimSun"/>
        <w:color w:val="555555"/>
        <w:sz w:val="18"/>
      </w:rPr>
      <w:fldChar w:fldCharType="end"/>
    </w:r>
    <w:r>
      <w:rPr>
        <w:rFonts w:ascii="SimSun" w:hAnsi="SimSun" w:eastAsia="宋体" w:cs="SimSun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SimSun" w:hAnsi="SimSun" w:eastAsia="宋体" w:cs="SimSun"/>
        <w:color w:val="555555"/>
        <w:sz w:val="18"/>
      </w:rPr>
      <w:t>《厂东英雄传》美术素材需求书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360" w:lineRule="auto"/>
      <w:ind w:firstLine="480"/>
      <w:jc w:val="both"/>
    </w:pPr>
    <w:rPr>
      <w:rFonts w:ascii="SimSun" w:hAnsi="SimSun" w:eastAsia="宋体" w:cs="SimSu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ind w:firstLine="0" w:left="0"/>
      <w:jc w:val="left"/>
      <w:outlineLvl w:val="0"/>
    </w:pPr>
    <w:rPr>
      <w:rFonts w:asciiTheme="majorHAnsi" w:eastAsiaTheme="majorEastAsia" w:hAnsiTheme="majorHAnsi" w:cstheme="majorBidi" w:ascii="SimSun" w:hAnsi="SimSun" w:eastAsia="宋体" w:cs="SimSu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SimSun" w:hAnsi="SimSun" w:eastAsia="宋体" w:cs="SimSu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SimSun" w:hAnsi="SimSun" w:eastAsia="宋体" w:cs="SimSu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SimSun" w:hAnsi="SimSun" w:eastAsia="宋体" w:cs="SimSu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  <w:ind w:firstLine="0"/>
      <w:jc w:val="center"/>
    </w:pPr>
    <w:rPr>
      <w:rFonts w:asciiTheme="majorHAnsi" w:eastAsiaTheme="majorEastAsia" w:hAnsiTheme="majorHAnsi" w:cstheme="majorBidi" w:ascii="SimSun" w:hAnsi="SimSun" w:eastAsia="宋体" w:cs="SimSun"/>
      <w:b w:val="0"/>
      <w:i w:val="0"/>
      <w:iCs/>
      <w:color w:val="55555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before="0" w:after="40" w:line="360" w:lineRule="auto"/>
      <w:ind w:left="539" w:hanging="272"/>
      <w:contextualSpacing/>
    </w:pPr>
    <w:rPr>
      <w:rFonts w:ascii="SimSun" w:hAnsi="SimSun" w:eastAsia="宋体" w:cs="SimSun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before="0" w:after="40" w:line="360" w:lineRule="auto"/>
      <w:ind w:left="539" w:hanging="272"/>
      <w:contextualSpacing/>
    </w:pPr>
    <w:rPr>
      <w:rFonts w:ascii="SimSun" w:hAnsi="SimSun" w:eastAsia="宋体" w:cs="SimSun"/>
      <w:b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ind w:firstLine="0"/>
      <w:jc w:val="center"/>
    </w:pPr>
    <w:rPr>
      <w:rFonts w:ascii="SimSun" w:hAnsi="SimSun" w:eastAsia="宋体" w:cs="SimSun"/>
      <w:b w:val="0"/>
      <w:bCs/>
      <w:color w:val="555555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before="0" w:after="100" w:line="288" w:lineRule="auto"/>
      <w:ind w:firstLine="0"/>
      <w:jc w:val="center"/>
    </w:pPr>
    <w:rPr>
      <w:rFonts w:ascii="SimSun" w:hAnsi="SimSun" w:eastAsia="宋体" w:cs="SimSun"/>
      <w:b w:val="0"/>
      <w:color w:val="555555"/>
      <w:sz w:val="22"/>
    </w:rPr>
  </w:style>
  <w:style w:type="paragraph" w:customStyle="1" w:styleId="LeadNote">
    <w:name w:val="Lead Note"/>
    <w:pPr>
      <w:spacing w:before="120" w:after="160" w:line="360" w:lineRule="auto"/>
      <w:ind w:firstLine="0" w:left="283" w:right="283"/>
      <w:jc w:val="left"/>
    </w:pPr>
    <w:rPr>
      <w:rFonts w:ascii="SimSun" w:hAnsi="SimSun" w:eastAsia="宋体" w:cs="SimSun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《厂东英雄传》美术素材需求书</dc:title>
  <dc:subject>混合 2.5D 美术资产范围、规范与最小验证计划</dc:subject>
  <dc:creator>TSOC</dc:creator>
  <cp:keywords>厂东英雄传, Godot, 2.5D, 美术素材, 3D角色, 2D背景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