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5040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0" cy="3331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e_wordmark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333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2563EB"/>
                <w:sz w:val="18"/>
              </w:rPr>
              <w:t>STAKEHOLDER BRIEF · SEPTEMBER 2026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0F172A"/>
          <w:sz w:val="44"/>
        </w:rPr>
        <w:t>croe. - Executive Summary</w:t>
      </w:r>
    </w:p>
    <w:p>
      <w:pPr>
        <w:spacing w:before="0" w:after="320"/>
      </w:pPr>
      <w:r>
        <w:rPr>
          <w:rFonts w:ascii="Segoe UI" w:hAnsi="Segoe UI"/>
          <w:color w:val="64748B"/>
          <w:sz w:val="24"/>
        </w:rPr>
        <w:t>Escrow for Social Commerce, on Mobile Money. Ghana-First.</w:t>
      </w:r>
    </w:p>
    <w:p>
      <w:pPr>
        <w:spacing w:before="0" w:after="280"/>
      </w:pPr>
      <w:r>
        <w:rPr>
          <w:color w:val="E2E8F0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1. The Problem: The Trust Standoff in Social Commerce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Structural Failure: </w:t>
      </w:r>
      <w:r>
        <w:rPr>
          <w:rFonts w:ascii="Segoe UI" w:hAnsi="Segoe UI"/>
          <w:color w:val="334155"/>
          <w:sz w:val="20"/>
        </w:rPr>
        <w:t>Social commerce in Ghana runs on trust that does not exist. A buyer finds a smartphone, laptop, or designer sneakers on Instagram and is asked to send Mobile Money (MoMo) to a stranger. The vendor is asked to dispatch goods via dispatch rider to someone who may refuse to pay. Both positions are completely rational, and the sale dies between them.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0"/>
        </w:rPr>
        <w:t>Vendors routinely lose 25%–30% of qualified buyer inquiries to payment anxiety. Buyers who do pay upfront absorb recurring fraud with zero recourse - no enforceable receipt, no neutral arbiter, and no path to an automated refund.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2. The Solution: Frictionless Escrow on MoMo Rails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Customer Experience</w:t>
            </w:r>
          </w:p>
        </w:tc>
      </w:tr>
      <w:tr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1. Link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Vendor creates escrow link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Shared directly in WhatsApp or Instagram DM where the sale is already happening.</w:t>
            </w:r>
          </w:p>
        </w:tc>
      </w:tr>
      <w:tr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2. Pay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Buyer authorizes MoMo payment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Standard USSD prompt on their handset. Funds lock in escrow - vendor sees it, but cannot touch it.</w:t>
            </w:r>
          </w:p>
        </w:tc>
      </w:tr>
      <w:tr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3. Ship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Vendor dispatches order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Goods dispatched against guaranteed locked money rather than an empty promise.</w:t>
            </w:r>
          </w:p>
        </w:tc>
      </w:tr>
      <w:tr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4. Release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Buyer confirms delivery</w:t>
            </w:r>
          </w:p>
        </w:tc>
        <w:tc>
          <w:tcPr>
            <w:tcW w:type="dxa" w:w="336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Vendor paid automatically, less 2.0% commission. If an issue occurs, a structured dispute opens.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3. Why Escrow Is Hard - And Why Croe Is Ahead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1. Regulatory Compliance by Design: </w:t>
      </w:r>
      <w:r>
        <w:rPr>
          <w:rFonts w:ascii="Segoe UI" w:hAnsi="Segoe UI"/>
          <w:color w:val="334155"/>
          <w:sz w:val="20"/>
        </w:rPr>
        <w:t>Holding third-party funds falls under the Bank of Ghana (BoG) and the Payment Systems and Services Act, 2019 (Act 987). Unlicensed platforms get shut down; full licences require millions in capital. Croe solves this through a Phased Custody Chain: Croe never holds client funds on its own balance sheet. In pilot (P1), funds settle via aggregator settlement; at scale (P2), via a licensed partner bank trust account. The CustodyProvider software abstraction means moving from pilot to institutional custody is a configuration switch, not a code rewrite.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2. Automated Impartial Dispute Triage: </w:t>
      </w:r>
      <w:r>
        <w:rPr>
          <w:rFonts w:ascii="Segoe UI" w:hAnsi="Segoe UI"/>
          <w:color w:val="334155"/>
          <w:sz w:val="20"/>
        </w:rPr>
        <w:t>Manual arbitration destroys unit economics on small orders. Croe runs a 3-tier dispute engine: cryptographic SHA-256 media hashing (catches recycled scam imagery across vendors), deterministic SQL heuristics (velocity and Sybil tripwires), and a self-hosted open-weights LLM arbitrator that handles straightforward claims and escalates only ambiguous cases to human review. Customer dispute data never leaves self-hosted infrastructure.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4. Current Status: Built, Tested &amp; Proven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0"/>
        </w:rPr>
        <w:t>Croe is not a mockup. The complete backend and React Native mobile application are finished, running on aggregator sandboxes with 354 automated tests passing (275 backend + 79 frontend), including concurrent-webhook race tests and NUMERIC(15,2) decimal precision verification.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5. Business Model &amp; Unit Economics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0"/>
        </w:rPr>
        <w:t>Croe charges a standard 2.0% commission on successfully released transactions (0% on refunds). We lead with high-ticket electronics, smartphones, and streetwear where average tickets are ~GHS 1,200: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Commercial Segment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AOV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Gross (2%)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Net Margin (`C`)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Break-Even Vol.</w:t>
            </w:r>
          </w:p>
        </w:tc>
      </w:tr>
      <w:tr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Lead Vertical: Electronics &amp; Streetwear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1,200.00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24.00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≈ GHS 22.50 – 23.00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~22 txns / month</w:t>
            </w:r>
          </w:p>
        </w:tc>
      </w:tr>
      <w:tr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Baseline General Social Commerce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450.00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9.00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≈ GHS 7.50 – 8.00</w:t>
            </w:r>
          </w:p>
        </w:tc>
        <w:tc>
          <w:tcPr>
            <w:tcW w:type="dxa" w:w="201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~63 txns / month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19"/>
              </w:rPr>
              <w:t>⚡  TICKET-SIZE LEVERAGE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0F172A"/>
                <w:sz w:val="19"/>
              </w:rPr>
              <w:t>By leading with high-ticket electronics and streetwear (AOV GHS 1,200), Croe triples net margin per transaction and reduces monthly break-even from 63 to just 22 transactions against lean pilot overhead (&lt; GHS 500/mo).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6. The Ask: Dual-Track Pilot Funding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Funding Track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Capital Needed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Allocation Scope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Target Milestone</w:t>
            </w:r>
          </w:p>
        </w:tc>
      </w:tr>
      <w:tr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Track A: Lean Bootstrap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30,000 (~$2,500)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ORC company registration, TIN, DPC filing, T+2 working capital float, 3-mo lean infra.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First 100+ live transactions on compliant rails, measured conversion &amp; dispute rate.</w:t>
            </w:r>
          </w:p>
        </w:tc>
      </w:tr>
      <w:tr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Track B: Institutional / Accelerated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150,000 (~$12,500)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Track A + formal fintech legal counsel (BoG PFTSP opinion &amp; trust ToS), external pen test, multi-AZ cloud.</w:t>
            </w:r>
          </w:p>
        </w:tc>
        <w:tc>
          <w:tcPr>
            <w:tcW w:type="dxa" w:w="2520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Complete institutional de-risking for P2 partner bank onboarding &amp; accelerator entry.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64748B"/>
        <w:sz w:val="17"/>
      </w:rPr>
      <w:t>Executive Summary  |  croe.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