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480"/>
        <w:gridCol w:w="3600"/>
      </w:tblGrid>
      <w:tr>
        <w:tc>
          <w:tcPr>
            <w:tcW w:type="dxa" w:w="4968"/>
          </w:tcPr>
          <w:p>
            <w:pPr>
              <w:spacing w:before="0" w:after="0"/>
            </w:pPr>
            <w:r>
              <w:drawing>
                <wp:inline xmlns:a="http://schemas.openxmlformats.org/drawingml/2006/main" xmlns:pic="http://schemas.openxmlformats.org/drawingml/2006/picture">
                  <wp:extent cx="1097280" cy="33315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roe_wordmark_dark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3331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68"/>
          </w:tcPr>
          <w:p>
            <w:pPr>
              <w:spacing w:before="80" w:after="0"/>
              <w:jc w:val="right"/>
            </w:pPr>
            <w:r>
              <w:rPr>
                <w:rFonts w:ascii="Segoe UI" w:hAnsi="Segoe UI"/>
                <w:b/>
                <w:color w:val="2563EB"/>
                <w:sz w:val="18"/>
              </w:rPr>
              <w:t>FINANCIAL SPECIFICATION · RULE FIN-01 COMPLIANT</w:t>
            </w:r>
          </w:p>
        </w:tc>
      </w:tr>
    </w:tbl>
    <w:p>
      <w:pPr>
        <w:spacing w:before="320" w:after="80"/>
      </w:pPr>
      <w:r>
        <w:rPr>
          <w:rFonts w:ascii="Segoe UI" w:hAnsi="Segoe UI"/>
          <w:b/>
          <w:color w:val="0F172A"/>
          <w:sz w:val="44"/>
        </w:rPr>
        <w:t>croe. - Financial Model &amp; Unit Economics</w:t>
      </w:r>
    </w:p>
    <w:p>
      <w:pPr>
        <w:spacing w:before="0" w:after="320"/>
      </w:pPr>
      <w:r>
        <w:rPr>
          <w:rFonts w:ascii="Segoe UI" w:hAnsi="Segoe UI"/>
          <w:color w:val="64748B"/>
          <w:sz w:val="24"/>
        </w:rPr>
        <w:t>Mathematical Architecture, Sensitivity Analysis &amp; Dual-Track Budget Reference</w:t>
      </w:r>
    </w:p>
    <w:p>
      <w:pPr>
        <w:spacing w:before="0" w:after="280"/>
      </w:pPr>
      <w:r>
        <w:rPr>
          <w:color w:val="E2E8F0"/>
          <w:sz w:val="16"/>
        </w:rPr>
        <w:t>――――――――――――――――――――――――――――――――――――――――――――――――――――――――――</w:t>
      </w:r>
    </w:p>
    <w:p>
      <w:pPr>
        <w:spacing w:before="320" w:after="120"/>
      </w:pPr>
      <w:r>
        <w:rPr>
          <w:rFonts w:ascii="Segoe UI" w:hAnsi="Segoe UI"/>
          <w:b/>
          <w:color w:val="2563EB"/>
          <w:sz w:val="28"/>
        </w:rPr>
        <w:t>1. Executive Summary &amp; Precision Mandates</w:t>
      </w:r>
    </w:p>
    <w:p>
      <w:pPr>
        <w:spacing w:before="0" w:after="120" w:line="276" w:lineRule="auto"/>
      </w:pPr>
      <w:r>
        <w:rPr>
          <w:rFonts w:ascii="Segoe UI" w:hAnsi="Segoe UI"/>
          <w:b/>
          <w:color w:val="0F172A"/>
          <w:sz w:val="20"/>
        </w:rPr>
        <w:t xml:space="preserve">Financial Discipline: </w:t>
      </w:r>
      <w:r>
        <w:rPr>
          <w:rFonts w:ascii="Segoe UI" w:hAnsi="Segoe UI"/>
          <w:color w:val="334155"/>
          <w:sz w:val="20"/>
        </w:rPr>
        <w:t>Every financial computation in Croe complies strictly with rule FIN-01: absolute NUMERIC(15,2) decimal precision with zero floating-point arithmetic. Currencies are explicitly tagged (GHS, USD per rule FIN-02). Revenue is generated through a standard 2.0% commission deducted from vendor payout upon successful delivery release. Zero commission is charged on refunded orders.</w:t>
      </w:r>
    </w:p>
    <w:p>
      <w:pPr>
        <w:spacing w:before="320" w:after="120"/>
      </w:pPr>
      <w:r>
        <w:rPr>
          <w:rFonts w:ascii="Segoe UI" w:hAnsi="Segoe UI"/>
          <w:b/>
          <w:color w:val="2563EB"/>
          <w:sz w:val="28"/>
        </w:rPr>
        <w:t>2. Unit Economics Across Commercial Tiers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6" w:space="0" w:color="E2E8F0"/>
          <w:left w:val="none"/>
          <w:right w:val="none"/>
          <w:insideH w:val="single" w:sz="4" w:space="0" w:color="E2E8F0"/>
          <w:insideV w:val="none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0F172A"/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Financial Line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0F172A"/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Tier 1: General Retail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0F172A"/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Tier 2: Thrift / Beauty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0F172A"/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Tier 3: Electronics / Sneakers (Lead)</w:t>
            </w:r>
          </w:p>
        </w:tc>
      </w:tr>
      <w:tr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Buyer Escrow Deposit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GHS 450.00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GHS 700.00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GHS 1,200.00</w:t>
            </w:r>
          </w:p>
        </w:tc>
      </w:tr>
      <w:tr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Aggregator Collection Fee (1.5%)*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(GHS 6.75)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(GHS 10.50)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(GHS 18.00)</w:t>
            </w:r>
          </w:p>
        </w:tc>
      </w:tr>
      <w:tr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Croe Gross Commission (2.0%)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+ GHS 9.00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+ GHS 14.00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+ GHS 24.00</w:t>
            </w:r>
          </w:p>
        </w:tc>
      </w:tr>
      <w:tr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MoMo B2C Payout Fee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- GHS 1.00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- GHS 1.00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- GHS 1.00</w:t>
            </w:r>
          </w:p>
        </w:tc>
      </w:tr>
      <w:tr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Allocated SMS &amp; Tech Overhead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- GHS 0.50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- GHS 0.50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- GHS 0.50</w:t>
            </w:r>
          </w:p>
        </w:tc>
      </w:tr>
      <w:tr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Croe Net Profit per Order (`C`)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≈ GHS 7.50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≈ GHS 12.50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≈ GHS 22.50</w:t>
            </w:r>
          </w:p>
        </w:tc>
      </w:tr>
      <w:tr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Vendor Net Payout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GHS 441.00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GHS 686.00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GHS 1,176.00</w:t>
            </w:r>
          </w:p>
        </w:tc>
      </w:tr>
      <w:tr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Effective Net Take Rate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1.67%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1.79%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1.88%</w:t>
            </w:r>
          </w:p>
        </w:tc>
      </w:tr>
    </w:tbl>
    <w:p>
      <w:pPr>
        <w:spacing w:before="320" w:after="120"/>
      </w:pPr>
      <w:r>
        <w:rPr>
          <w:rFonts w:ascii="Segoe UI" w:hAnsi="Segoe UI"/>
          <w:b/>
          <w:color w:val="2563EB"/>
          <w:sz w:val="28"/>
        </w:rPr>
        <w:t>3. Fixed Operating Overhead Models</w:t>
      </w:r>
    </w:p>
    <w:p>
      <w:pPr>
        <w:spacing w:before="0" w:after="120" w:line="276" w:lineRule="auto"/>
      </w:pPr>
      <w:r>
        <w:rPr>
          <w:rFonts w:ascii="Segoe UI" w:hAnsi="Segoe UI"/>
          <w:color w:val="334155"/>
          <w:sz w:val="20"/>
        </w:rPr>
        <w:t>Fixed overhead (F) is structured in two distinct tiers to preserve lean cash discipline during the validation pilot: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6" w:space="0" w:color="E2E8F0"/>
          <w:left w:val="none"/>
          <w:right w:val="none"/>
          <w:insideH w:val="single" w:sz="4" w:space="0" w:color="E2E8F0"/>
          <w:insideV w:val="none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2563EB"/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Infrastructure Item</w:t>
            </w:r>
          </w:p>
        </w:tc>
        <w:tc>
          <w:tcPr>
            <w:tcW w:type="dxa" w:w="3312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2563EB"/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Lean Pilot Mode (&lt;GHS 500/mo)</w:t>
            </w:r>
          </w:p>
        </w:tc>
        <w:tc>
          <w:tcPr>
            <w:tcW w:type="dxa" w:w="3312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2563EB"/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Institutional Scale (~GHS 3,000/mo)</w:t>
            </w:r>
          </w:p>
        </w:tc>
      </w:tr>
      <w:tr>
        <w:tc>
          <w:tcPr>
            <w:tcW w:type="dxa" w:w="3312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API Compute Hosting</w:t>
            </w:r>
          </w:p>
        </w:tc>
        <w:tc>
          <w:tcPr>
            <w:tcW w:type="dxa" w:w="3312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GHS 150.00 (Single Container)</w:t>
            </w:r>
          </w:p>
        </w:tc>
        <w:tc>
          <w:tcPr>
            <w:tcW w:type="dxa" w:w="3312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GHS 600.00 (Multi-AZ Cluster)</w:t>
            </w:r>
          </w:p>
        </w:tc>
      </w:tr>
      <w:tr>
        <w:tc>
          <w:tcPr>
            <w:tcW w:type="dxa" w:w="3312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Managed PostgreSQL Database</w:t>
            </w:r>
          </w:p>
        </w:tc>
        <w:tc>
          <w:tcPr>
            <w:tcW w:type="dxa" w:w="3312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GHS 150.00 (Standard)</w:t>
            </w:r>
          </w:p>
        </w:tc>
        <w:tc>
          <w:tcPr>
            <w:tcW w:type="dxa" w:w="3312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GHS 500.00 (High-Availability + PITR)</w:t>
            </w:r>
          </w:p>
        </w:tc>
      </w:tr>
      <w:tr>
        <w:tc>
          <w:tcPr>
            <w:tcW w:type="dxa" w:w="3312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Managed Redis Cache / Dedup</w:t>
            </w:r>
          </w:p>
        </w:tc>
        <w:tc>
          <w:tcPr>
            <w:tcW w:type="dxa" w:w="3312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GHS 75.00</w:t>
            </w:r>
          </w:p>
        </w:tc>
        <w:tc>
          <w:tcPr>
            <w:tcW w:type="dxa" w:w="3312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GHS 250.00 (Clustered)</w:t>
            </w:r>
          </w:p>
        </w:tc>
      </w:tr>
      <w:tr>
        <w:tc>
          <w:tcPr>
            <w:tcW w:type="dxa" w:w="3312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AI Arbitrator Hosting</w:t>
            </w:r>
          </w:p>
        </w:tc>
        <w:tc>
          <w:tcPr>
            <w:tcW w:type="dxa" w:w="3312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GHS 0.00 (Host CPU / Local Ollama)</w:t>
            </w:r>
          </w:p>
        </w:tc>
        <w:tc>
          <w:tcPr>
            <w:tcW w:type="dxa" w:w="3312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GHS 1,200.00 (Dedicated GPU Box)</w:t>
            </w:r>
          </w:p>
        </w:tc>
      </w:tr>
      <w:tr>
        <w:tc>
          <w:tcPr>
            <w:tcW w:type="dxa" w:w="3312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Transactional SMS / OTPs</w:t>
            </w:r>
          </w:p>
        </w:tc>
        <w:tc>
          <w:tcPr>
            <w:tcW w:type="dxa" w:w="3312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GHS 90.00 (Pay-as-you-go)</w:t>
            </w:r>
          </w:p>
        </w:tc>
        <w:tc>
          <w:tcPr>
            <w:tcW w:type="dxa" w:w="3312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GHS 300.00 (Enterprise Deliverability)</w:t>
            </w:r>
          </w:p>
        </w:tc>
      </w:tr>
      <w:tr>
        <w:tc>
          <w:tcPr>
            <w:tcW w:type="dxa" w:w="3312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Total Monthly Fixed Costs (`F`)</w:t>
            </w:r>
          </w:p>
        </w:tc>
        <w:tc>
          <w:tcPr>
            <w:tcW w:type="dxa" w:w="3312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≈ GHS 465.00 – 500.00</w:t>
            </w:r>
          </w:p>
        </w:tc>
        <w:tc>
          <w:tcPr>
            <w:tcW w:type="dxa" w:w="3312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≈ GHS 2,850.00 – 3,000.00</w:t>
            </w:r>
          </w:p>
        </w:tc>
      </w:tr>
    </w:tbl>
    <w:p>
      <w:pPr>
        <w:spacing w:before="320" w:after="120"/>
      </w:pPr>
      <w:r>
        <w:rPr>
          <w:rFonts w:ascii="Segoe UI" w:hAnsi="Segoe UI"/>
          <w:b/>
          <w:color w:val="2563EB"/>
          <w:sz w:val="28"/>
        </w:rPr>
        <w:t>4. Break-Even Sensitivity &amp; Payback Analysis</w:t>
      </w:r>
    </w:p>
    <w:p>
      <w:pPr>
        <w:spacing w:before="0" w:after="120" w:line="276" w:lineRule="auto"/>
      </w:pPr>
      <w:r>
        <w:rPr>
          <w:rFonts w:ascii="Segoe UI" w:hAnsi="Segoe UI"/>
          <w:color w:val="334155"/>
          <w:sz w:val="20"/>
        </w:rPr>
        <w:t>Monthly break-even transactions (N = F / C) across ticket sizes and overhead structures: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6" w:space="0" w:color="E2E8F0"/>
          <w:left w:val="none"/>
          <w:right w:val="none"/>
          <w:insideH w:val="single" w:sz="4" w:space="0" w:color="E2E8F0"/>
          <w:insideV w:val="none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0F172A"/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Fixed Overhead (`F`)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0F172A"/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General (AOV GHS 450)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0F172A"/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Thrift/Beauty (AOV GHS 700)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0F172A"/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Lead: Electronics (AOV GHS 1,200)</w:t>
            </w:r>
          </w:p>
        </w:tc>
      </w:tr>
      <w:tr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GHS 500 / mo (Lean Pilot)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67 txns / month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40 txns / month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22 txns / month</w:t>
            </w:r>
          </w:p>
        </w:tc>
      </w:tr>
      <w:tr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GHS 1,500 / mo (Interim)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200 txns / month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120 txns / month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67 txns / month</w:t>
            </w:r>
          </w:p>
        </w:tc>
      </w:tr>
      <w:tr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GHS 3,000 / mo (GPU Scale)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400 txns / month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240 txns / month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133 txns / month</w:t>
            </w:r>
          </w:p>
        </w:tc>
      </w:tr>
    </w:tbl>
    <w:p>
      <w:pPr>
        <w:spacing w:before="320" w:after="120"/>
      </w:pPr>
      <w:r>
        <w:rPr>
          <w:rFonts w:ascii="Segoe UI" w:hAnsi="Segoe UI"/>
          <w:b/>
          <w:color w:val="2563EB"/>
          <w:sz w:val="28"/>
        </w:rPr>
        <w:t>5. Working Capital &amp; Settlement Lag Float</w:t>
      </w:r>
    </w:p>
    <w:p>
      <w:pPr>
        <w:spacing w:before="0" w:after="120" w:line="276" w:lineRule="auto"/>
      </w:pPr>
      <w:r>
        <w:rPr>
          <w:rFonts w:ascii="Segoe UI" w:hAnsi="Segoe UI"/>
          <w:color w:val="334155"/>
          <w:sz w:val="20"/>
        </w:rPr>
        <w:t>When payment aggregators settle at T+2, but Croe releases funds to merchants at T+0 upon delivery confirmation, Croe maintains a working capital float to bridge settlement lag: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6" w:space="0" w:color="E2E8F0"/>
          <w:left w:val="none"/>
          <w:right w:val="none"/>
          <w:insideH w:val="single" w:sz="4" w:space="0" w:color="E2E8F0"/>
          <w:insideV w:val="none"/>
        </w:tblBorders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0F172A"/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Monthly Completed Txns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0F172A"/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Monthly GMV (AOV GHS 1,200)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0F172A"/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Required T+2 Float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0F172A"/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Funded Loss Reserve (2%)</w:t>
            </w:r>
          </w:p>
        </w:tc>
      </w:tr>
      <w:tr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25 txns / mo (Early Pilot)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GHS 30,000.00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GHS 2,000.00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GHS 600.00</w:t>
            </w:r>
          </w:p>
        </w:tc>
      </w:tr>
      <w:tr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100 txns / mo (Target Pilot)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GHS 120,000.00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GHS 8,000.00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GHS 2,400.00</w:t>
            </w:r>
          </w:p>
        </w:tc>
      </w:tr>
      <w:tr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300 txns / mo (Commercial)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GHS 360,000.00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GHS 24,000.00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GHS 7,200.00</w:t>
            </w:r>
          </w:p>
        </w:tc>
      </w:tr>
      <w:tr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1,000 txns / mo (Scale)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GHS 1,200,000.00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GHS 80,000.00</w:t>
            </w:r>
          </w:p>
        </w:tc>
        <w:tc>
          <w:tcPr>
            <w:tcW w:type="dxa" w:w="2484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GHS 24,000.00</w:t>
            </w:r>
          </w:p>
        </w:tc>
      </w:tr>
    </w:tbl>
    <w:p>
      <w:pPr>
        <w:spacing w:before="320" w:after="120"/>
      </w:pPr>
      <w:r>
        <w:rPr>
          <w:rFonts w:ascii="Segoe UI" w:hAnsi="Segoe UI"/>
          <w:b/>
          <w:color w:val="2563EB"/>
          <w:sz w:val="28"/>
        </w:rPr>
        <w:t>6. Itemized Dual-Track Pilot Budgets</w:t>
      </w:r>
    </w:p>
    <w:p>
      <w:pPr>
        <w:spacing w:before="0" w:after="120" w:line="276" w:lineRule="auto"/>
      </w:pPr>
      <w:r>
        <w:rPr>
          <w:rFonts w:ascii="Segoe UI" w:hAnsi="Segoe UI"/>
          <w:b/>
          <w:color w:val="0F172A"/>
          <w:sz w:val="20"/>
        </w:rPr>
        <w:t xml:space="preserve">Track A: </w:t>
      </w:r>
      <w:r>
        <w:rPr>
          <w:rFonts w:ascii="Segoe UI" w:hAnsi="Segoe UI"/>
          <w:color w:val="334155"/>
          <w:sz w:val="20"/>
        </w:rPr>
        <w:t>Track A: Lean Bootstrap Pilot (GHS 30,000 / ~$2,500 USD)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6" w:space="0" w:color="E2E8F0"/>
          <w:left w:val="none"/>
          <w:right w:val="none"/>
          <w:insideH w:val="single" w:sz="4" w:space="0" w:color="E2E8F0"/>
          <w:insideV w:val="none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0F172A"/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Expense Line Item</w:t>
            </w:r>
          </w:p>
        </w:tc>
        <w:tc>
          <w:tcPr>
            <w:tcW w:type="dxa" w:w="3312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0F172A"/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Budget (GHS)</w:t>
            </w:r>
          </w:p>
        </w:tc>
        <w:tc>
          <w:tcPr>
            <w:tcW w:type="dxa" w:w="3312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0F172A"/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USD Equiv.</w:t>
            </w:r>
          </w:p>
        </w:tc>
      </w:tr>
      <w:tr>
        <w:tc>
          <w:tcPr>
            <w:tcW w:type="dxa" w:w="3312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Entity Formation (ORC) + TIN + DPC Registration</w:t>
            </w:r>
          </w:p>
        </w:tc>
        <w:tc>
          <w:tcPr>
            <w:tcW w:type="dxa" w:w="3312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GHS 2,400.00</w:t>
            </w:r>
          </w:p>
        </w:tc>
        <w:tc>
          <w:tcPr>
            <w:tcW w:type="dxa" w:w="3312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$200.00</w:t>
            </w:r>
          </w:p>
        </w:tc>
      </w:tr>
      <w:tr>
        <w:tc>
          <w:tcPr>
            <w:tcW w:type="dxa" w:w="3312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Developer Accounts (Apple $99 + Google $25) + Domain</w:t>
            </w:r>
          </w:p>
        </w:tc>
        <w:tc>
          <w:tcPr>
            <w:tcW w:type="dxa" w:w="3312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GHS 1,700.00</w:t>
            </w:r>
          </w:p>
        </w:tc>
        <w:tc>
          <w:tcPr>
            <w:tcW w:type="dxa" w:w="3312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$142.00</w:t>
            </w:r>
          </w:p>
        </w:tc>
      </w:tr>
      <w:tr>
        <w:tc>
          <w:tcPr>
            <w:tcW w:type="dxa" w:w="3312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Initial T+2 Float &amp; Loss Reserve</w:t>
            </w:r>
          </w:p>
        </w:tc>
        <w:tc>
          <w:tcPr>
            <w:tcW w:type="dxa" w:w="3312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GHS 5,000.00</w:t>
            </w:r>
          </w:p>
        </w:tc>
        <w:tc>
          <w:tcPr>
            <w:tcW w:type="dxa" w:w="3312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$417.00</w:t>
            </w:r>
          </w:p>
        </w:tc>
      </w:tr>
      <w:tr>
        <w:tc>
          <w:tcPr>
            <w:tcW w:type="dxa" w:w="3312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3 Months Lean Infrastructure &amp; Pilot Operations</w:t>
            </w:r>
          </w:p>
        </w:tc>
        <w:tc>
          <w:tcPr>
            <w:tcW w:type="dxa" w:w="3312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GHS 20,900.00</w:t>
            </w:r>
          </w:p>
        </w:tc>
        <w:tc>
          <w:tcPr>
            <w:tcW w:type="dxa" w:w="3312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$1,741.00</w:t>
            </w:r>
          </w:p>
        </w:tc>
      </w:tr>
    </w:tbl>
    <w:p>
      <w:pPr>
        <w:spacing w:before="0" w:after="120" w:line="276" w:lineRule="auto"/>
      </w:pPr>
      <w:r>
        <w:rPr>
          <w:rFonts w:ascii="Segoe UI" w:hAnsi="Segoe UI"/>
          <w:b/>
          <w:color w:val="0F172A"/>
          <w:sz w:val="20"/>
        </w:rPr>
        <w:t xml:space="preserve">Track B: </w:t>
      </w:r>
      <w:r>
        <w:rPr>
          <w:rFonts w:ascii="Segoe UI" w:hAnsi="Segoe UI"/>
          <w:color w:val="334155"/>
          <w:sz w:val="20"/>
        </w:rPr>
        <w:t>Track B: Institutional / Accelerated Pilot (GHS 150,000 / ~$12,500 USD)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6" w:space="0" w:color="E2E8F0"/>
          <w:left w:val="none"/>
          <w:right w:val="none"/>
          <w:insideH w:val="single" w:sz="4" w:space="0" w:color="E2E8F0"/>
          <w:insideV w:val="none"/>
        </w:tblBorders>
      </w:tblPr>
      <w:tblGrid>
        <w:gridCol w:w="3312"/>
        <w:gridCol w:w="3312"/>
        <w:gridCol w:w="3312"/>
      </w:tblGrid>
      <w:tr>
        <w:tc>
          <w:tcPr>
            <w:tcW w:type="dxa" w:w="3312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0F172A"/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Expense Line Item</w:t>
            </w:r>
          </w:p>
        </w:tc>
        <w:tc>
          <w:tcPr>
            <w:tcW w:type="dxa" w:w="3312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0F172A"/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Budget (GHS)</w:t>
            </w:r>
          </w:p>
        </w:tc>
        <w:tc>
          <w:tcPr>
            <w:tcW w:type="dxa" w:w="3312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0F172A"/>
          </w:tcPr>
          <w:p>
            <w:pPr>
              <w:jc w:val="left"/>
            </w:pPr>
            <w:r>
              <w:rPr>
                <w:rFonts w:ascii="Segoe UI" w:hAnsi="Segoe UI"/>
                <w:b/>
                <w:color w:val="FFFFFF"/>
                <w:sz w:val="19"/>
              </w:rPr>
              <w:t>USD Equiv.</w:t>
            </w:r>
          </w:p>
        </w:tc>
      </w:tr>
      <w:tr>
        <w:tc>
          <w:tcPr>
            <w:tcW w:type="dxa" w:w="3312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Specialist Fintech Legal Counsel (BoG PFTSP opinion &amp; trust ToS)</w:t>
            </w:r>
          </w:p>
        </w:tc>
        <w:tc>
          <w:tcPr>
            <w:tcW w:type="dxa" w:w="3312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GHS 45,000.00</w:t>
            </w:r>
          </w:p>
        </w:tc>
        <w:tc>
          <w:tcPr>
            <w:tcW w:type="dxa" w:w="3312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$3,750.00</w:t>
            </w:r>
          </w:p>
        </w:tc>
      </w:tr>
      <w:tr>
        <w:tc>
          <w:tcPr>
            <w:tcW w:type="dxa" w:w="3312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Independent External Penetration Test &amp; Security Audit</w:t>
            </w:r>
          </w:p>
        </w:tc>
        <w:tc>
          <w:tcPr>
            <w:tcW w:type="dxa" w:w="3312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GHS 35,000.00</w:t>
            </w:r>
          </w:p>
        </w:tc>
        <w:tc>
          <w:tcPr>
            <w:tcW w:type="dxa" w:w="3312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$2,917.00</w:t>
            </w:r>
          </w:p>
        </w:tc>
      </w:tr>
      <w:tr>
        <w:tc>
          <w:tcPr>
            <w:tcW w:type="dxa" w:w="3312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Entity Incorporation via Agent + DPC Filing + Trademark</w:t>
            </w:r>
          </w:p>
        </w:tc>
        <w:tc>
          <w:tcPr>
            <w:tcW w:type="dxa" w:w="3312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GHS 8,000.00</w:t>
            </w:r>
          </w:p>
        </w:tc>
        <w:tc>
          <w:tcPr>
            <w:tcW w:type="dxa" w:w="3312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$667.00</w:t>
            </w:r>
          </w:p>
        </w:tc>
      </w:tr>
      <w:tr>
        <w:tc>
          <w:tcPr>
            <w:tcW w:type="dxa" w:w="3312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T+2 Working Capital Float &amp; Funded 2% Loss Reserve</w:t>
            </w:r>
          </w:p>
        </w:tc>
        <w:tc>
          <w:tcPr>
            <w:tcW w:type="dxa" w:w="3312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GHS 25,000.00</w:t>
            </w:r>
          </w:p>
        </w:tc>
        <w:tc>
          <w:tcPr>
            <w:tcW w:type="dxa" w:w="3312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</w:tcPr>
          <w:p>
            <w:r>
              <w:rPr>
                <w:rFonts w:ascii="Segoe UI" w:hAnsi="Segoe UI"/>
                <w:color w:val="334155"/>
                <w:sz w:val="19"/>
              </w:rPr>
              <w:t>$2,083.00</w:t>
            </w:r>
          </w:p>
        </w:tc>
      </w:tr>
      <w:tr>
        <w:tc>
          <w:tcPr>
            <w:tcW w:type="dxa" w:w="3312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6 Months Multi-AZ Cloud Infra, SMS &amp; Operations Runway</w:t>
            </w:r>
          </w:p>
        </w:tc>
        <w:tc>
          <w:tcPr>
            <w:tcW w:type="dxa" w:w="3312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GHS 37,000.00</w:t>
            </w:r>
          </w:p>
        </w:tc>
        <w:tc>
          <w:tcPr>
            <w:tcW w:type="dxa" w:w="3312"/>
            <w:vAlign w:val="center"/>
            <w:tcMar>
              <w:top w:w="130" w:type="dxa"/>
              <w:bottom w:w="130" w:type="dxa"/>
              <w:left w:w="160" w:type="dxa"/>
              <w:right w:w="160" w:type="dxa"/>
            </w:tcMar>
            <w:shd w:fill="F8FAFC"/>
          </w:tcPr>
          <w:p>
            <w:r>
              <w:rPr>
                <w:rFonts w:ascii="Segoe UI" w:hAnsi="Segoe UI"/>
                <w:color w:val="334155"/>
                <w:sz w:val="19"/>
              </w:rPr>
              <w:t>$3,083.00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Segoe UI" w:hAnsi="Segoe UI"/>
        <w:color w:val="64748B"/>
        <w:sz w:val="17"/>
      </w:rPr>
      <w:t>Financial Model &amp; Unit Economics  |  croe.  |  Confidential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