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Plus Jakarta Sans" w:hAnsi="Plus Jakarta Sans"/>
          <w:b/>
          <w:color w:val="17181B"/>
          <w:sz w:val="52"/>
        </w:rPr>
        <w:t>croe</w:t>
      </w:r>
    </w:p>
    <w:p>
      <w:pPr>
        <w:spacing w:before="40" w:after="40"/>
      </w:pPr>
      <w:r>
        <w:rPr>
          <w:rFonts w:ascii="Plus Jakarta Sans" w:hAnsi="Plus Jakarta Sans"/>
          <w:b/>
          <w:color w:val="17181B"/>
          <w:sz w:val="20"/>
        </w:rPr>
        <w:t>Financial Model — Pre-Seed / Ghana Pilot</w:t>
      </w:r>
    </w:p>
    <w:p>
      <w:pPr>
        <w:spacing w:before="0" w:after="120"/>
      </w:pPr>
      <w:r>
        <w:rPr>
          <w:rFonts w:ascii="Plus Jakarta Sans" w:hAnsi="Plus Jakarta Sans"/>
          <w:color w:val="8E9297"/>
          <w:sz w:val="16"/>
        </w:rPr>
        <w:t>All figures in GHS. FX assumption: ≈ GHS 12 = USD 1. Items marked [verify] await confirmed pricing.</w:t>
      </w:r>
    </w:p>
    <w:p>
      <w:pPr>
        <w:pStyle w:val="Heading2"/>
      </w:pPr>
      <w:r>
        <w:t>1. Revenue model</w:t>
      </w:r>
    </w:p>
    <w:p>
      <w:pPr>
        <w:spacing w:before="0" w:after="80"/>
      </w:pPr>
      <w:r>
        <w:rPr>
          <w:rFonts w:ascii="Plus Jakarta Sans" w:hAnsi="Plus Jakarta Sans"/>
          <w:b w:val="0"/>
          <w:color w:val="4A4D52"/>
          <w:sz w:val="19"/>
        </w:rPr>
        <w:t xml:space="preserve">Commission per released transaction: </w:t>
      </w:r>
      <w:r>
        <w:rPr>
          <w:rFonts w:ascii="Plus Jakarta Sans" w:hAnsi="Plus Jakarta Sans"/>
          <w:b/>
          <w:color w:val="17181B"/>
          <w:sz w:val="19"/>
        </w:rPr>
        <w:t>2.0%</w:t>
      </w:r>
      <w:r>
        <w:rPr>
          <w:rFonts w:ascii="Plus Jakarta Sans" w:hAnsi="Plus Jakarta Sans"/>
          <w:b w:val="0"/>
          <w:color w:val="4A4D52"/>
          <w:sz w:val="19"/>
        </w:rPr>
        <w:t xml:space="preserve"> (range 1.5–2.5% [verify]). Vendor-pays by default — deducted from payout. </w:t>
      </w:r>
      <w:r>
        <w:rPr>
          <w:rFonts w:ascii="Plus Jakarta Sans" w:hAnsi="Plus Jakarta Sans"/>
          <w:b/>
          <w:color w:val="17181B"/>
          <w:sz w:val="19"/>
        </w:rPr>
        <w:t>No commission on refunds.</w:t>
      </w:r>
      <w:r>
        <w:rPr>
          <w:rFonts w:ascii="Plus Jakarta Sans" w:hAnsi="Plus Jakarta Sans"/>
          <w:b w:val="0"/>
          <w:color w:val="4A4D52"/>
          <w:sz w:val="19"/>
        </w:rPr>
        <w:t xml:space="preserve"> Revenue scales exclusively with completed, satisfied trades.</w:t>
      </w:r>
    </w:p>
    <w:p>
      <w:pPr>
        <w:pStyle w:val="Heading2"/>
      </w:pPr>
      <w:r>
        <w:t>2. Unit economics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4" w:space="0" w:color="D9D9D5"/>
          <w:right w:val="none" w:sz="0" w:space="0"/>
          <w:insideH w:val="single" w:sz="2" w:space="0" w:color="E7E7E4"/>
          <w:insideV w:val="none" w:sz="0" w:space="0"/>
        </w:tblBorders>
      </w:tblPr>
      <w:tblGrid>
        <w:gridCol w:w="4873"/>
        <w:gridCol w:w="4873"/>
      </w:tblGrid>
      <w:tr>
        <w:tc>
          <w:tcPr>
            <w:tcW w:type="dxa" w:w="6480"/>
            <w:shd w:fill="F1F1EF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Line item</w:t>
            </w:r>
          </w:p>
        </w:tc>
        <w:tc>
          <w:tcPr>
            <w:tcW w:type="dxa" w:w="2160"/>
            <w:shd w:fill="F1F1EF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GHS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Buyer pays into escrow</w:t>
            </w:r>
          </w:p>
        </w:tc>
        <w:tc>
          <w:tcPr>
            <w:tcW w:type="dxa" w:w="2160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450.00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Aggregator collection fee (1.5%)</w:t>
            </w:r>
          </w:p>
        </w:tc>
        <w:tc>
          <w:tcPr>
            <w:tcW w:type="dxa" w:w="2160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− 6.75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Croe gross commission (2.0%)</w:t>
            </w:r>
          </w:p>
        </w:tc>
        <w:tc>
          <w:tcPr>
            <w:tcW w:type="dxa" w:w="2160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+ 9.00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Aggregator payout fee</w:t>
            </w:r>
          </w:p>
        </w:tc>
        <w:tc>
          <w:tcPr>
            <w:tcW w:type="dxa" w:w="2160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− ~1.00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Croe net margin per transaction</w:t>
            </w:r>
          </w:p>
        </w:tc>
        <w:tc>
          <w:tcPr>
            <w:tcW w:type="dxa" w:w="2160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27A45"/>
                <w:sz w:val="18"/>
              </w:rPr>
              <w:t>≈ 8.00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Vendor receives</w:t>
            </w:r>
          </w:p>
        </w:tc>
        <w:tc>
          <w:tcPr>
            <w:tcW w:type="dxa" w:w="2160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≈ 441.00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Croe take-rate (net / GMV)</w:t>
            </w:r>
          </w:p>
        </w:tc>
        <w:tc>
          <w:tcPr>
            <w:tcW w:type="dxa" w:w="2160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≈ 1.8%</w:t>
            </w:r>
          </w:p>
        </w:tc>
      </w:tr>
    </w:tbl>
    <w:p>
      <w:pPr>
        <w:spacing w:before="80" w:after="120"/>
      </w:pPr>
      <w:r>
        <w:rPr>
          <w:rFonts w:ascii="Plus Jakarta Sans" w:hAnsi="Plus Jakarta Sans"/>
          <w:b/>
          <w:color w:val="17181B"/>
          <w:sz w:val="18"/>
        </w:rPr>
        <w:t xml:space="preserve">Ticker-size lever: </w:t>
      </w:r>
      <w:r>
        <w:rPr>
          <w:rFonts w:ascii="Plus Jakarta Sans" w:hAnsi="Plus Jakarta Sans"/>
          <w:b w:val="0"/>
          <w:color w:val="8E9297"/>
          <w:sz w:val="17"/>
        </w:rPr>
        <w:t>at GHS 1,200 avg ticket (electronics/sneakers), net margin ≈ GHS 23/txn — 3× per transaction.</w:t>
      </w:r>
    </w:p>
    <w:p>
      <w:pPr>
        <w:pStyle w:val="Heading2"/>
      </w:pPr>
      <w:r>
        <w:t>3. Fixed cost structure (monthly, pilot scale)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4" w:space="0" w:color="D9D9D5"/>
          <w:right w:val="none" w:sz="0" w:space="0"/>
          <w:insideH w:val="single" w:sz="2" w:space="0" w:color="E7E7E4"/>
          <w:insideV w:val="none" w:sz="0" w:space="0"/>
        </w:tblBorders>
      </w:tblPr>
      <w:tblGrid>
        <w:gridCol w:w="3249"/>
        <w:gridCol w:w="3249"/>
        <w:gridCol w:w="3249"/>
      </w:tblGrid>
      <w:tr>
        <w:tc>
          <w:tcPr>
            <w:tcW w:type="dxa" w:w="4608"/>
            <w:shd w:fill="F1F1EF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Item</w:t>
            </w:r>
          </w:p>
        </w:tc>
        <w:tc>
          <w:tcPr>
            <w:tcW w:type="dxa" w:w="2016"/>
            <w:shd w:fill="F1F1EF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Lean</w:t>
            </w:r>
          </w:p>
        </w:tc>
        <w:tc>
          <w:tcPr>
            <w:tcW w:type="dxa" w:w="2016"/>
            <w:shd w:fill="F1F1EF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Realistic</w:t>
            </w:r>
          </w:p>
        </w:tc>
      </w:tr>
      <w:tr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App hosting</w:t>
            </w:r>
          </w:p>
        </w:tc>
        <w:tc>
          <w:tcPr>
            <w:tcW w:type="dxa" w:w="2016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150</w:t>
            </w:r>
          </w:p>
        </w:tc>
        <w:tc>
          <w:tcPr>
            <w:tcW w:type="dxa" w:w="2016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400</w:t>
            </w:r>
          </w:p>
        </w:tc>
      </w:tr>
      <w:tr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Managed Postgres</w:t>
            </w:r>
          </w:p>
        </w:tc>
        <w:tc>
          <w:tcPr>
            <w:tcW w:type="dxa" w:w="2016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0–200</w:t>
            </w:r>
          </w:p>
        </w:tc>
        <w:tc>
          <w:tcPr>
            <w:tcW w:type="dxa" w:w="2016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300–600</w:t>
            </w:r>
          </w:p>
        </w:tc>
      </w:tr>
      <w:tr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Managed Redis</w:t>
            </w:r>
          </w:p>
        </w:tc>
        <w:tc>
          <w:tcPr>
            <w:tcW w:type="dxa" w:w="2016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0–100</w:t>
            </w:r>
          </w:p>
        </w:tc>
        <w:tc>
          <w:tcPr>
            <w:tcW w:type="dxa" w:w="2016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150–300</w:t>
            </w:r>
          </w:p>
        </w:tc>
      </w:tr>
      <w:tr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Object storage</w:t>
            </w:r>
          </w:p>
        </w:tc>
        <w:tc>
          <w:tcPr>
            <w:tcW w:type="dxa" w:w="2016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30</w:t>
            </w:r>
          </w:p>
        </w:tc>
        <w:tc>
          <w:tcPr>
            <w:tcW w:type="dxa" w:w="2016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100</w:t>
            </w:r>
          </w:p>
        </w:tc>
      </w:tr>
      <w:tr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LLM hosting (CPU)</w:t>
            </w:r>
          </w:p>
        </w:tc>
        <w:tc>
          <w:tcPr>
            <w:tcW w:type="dxa" w:w="2016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0</w:t>
            </w:r>
          </w:p>
        </w:tc>
        <w:tc>
          <w:tcPr>
            <w:tcW w:type="dxa" w:w="2016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0</w:t>
            </w:r>
          </w:p>
        </w:tc>
      </w:tr>
      <w:tr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SMS (~6–10/txn)</w:t>
            </w:r>
          </w:p>
        </w:tc>
        <w:tc>
          <w:tcPr>
            <w:tcW w:type="dxa" w:w="2016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30–150</w:t>
            </w:r>
          </w:p>
        </w:tc>
        <w:tc>
          <w:tcPr>
            <w:tcW w:type="dxa" w:w="2016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150–600</w:t>
            </w:r>
          </w:p>
        </w:tc>
      </w:tr>
      <w:tr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Monitoring + misc</w:t>
            </w:r>
          </w:p>
        </w:tc>
        <w:tc>
          <w:tcPr>
            <w:tcW w:type="dxa" w:w="2016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50</w:t>
            </w:r>
          </w:p>
        </w:tc>
        <w:tc>
          <w:tcPr>
            <w:tcW w:type="dxa" w:w="2016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300</w:t>
            </w:r>
          </w:p>
        </w:tc>
      </w:tr>
      <w:tr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Monthly total (F)</w:t>
            </w:r>
          </w:p>
        </w:tc>
        <w:tc>
          <w:tcPr>
            <w:tcW w:type="dxa" w:w="2016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≈ 260–680</w:t>
            </w:r>
          </w:p>
        </w:tc>
        <w:tc>
          <w:tcPr>
            <w:tcW w:type="dxa" w:w="2016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≈ 2,600–6,600</w:t>
            </w:r>
          </w:p>
        </w:tc>
      </w:tr>
    </w:tbl>
    <w:p>
      <w:pPr>
        <w:spacing w:before="60" w:after="120"/>
      </w:pPr>
      <w:r>
        <w:rPr>
          <w:rFonts w:ascii="Plus Jakarta Sans" w:hAnsi="Plus Jakarta Sans"/>
          <w:b/>
          <w:color w:val="17181B"/>
          <w:sz w:val="17"/>
        </w:rPr>
        <w:t xml:space="preserve">Key: </w:t>
      </w:r>
      <w:r>
        <w:rPr>
          <w:rFonts w:ascii="Plus Jakarta Sans" w:hAnsi="Plus Jakarta Sans"/>
          <w:b w:val="0"/>
          <w:color w:val="8E9297"/>
          <w:sz w:val="17"/>
        </w:rPr>
        <w:t>LLM runs CPU-only during pilot (~3 inferences/month at 5% dispute rate). GPU provisioned only when volume justifies it.</w:t>
      </w:r>
    </w:p>
    <w:p>
      <w:pPr>
        <w:pStyle w:val="Heading2"/>
      </w:pPr>
      <w:r>
        <w:t>4. Break-even sensitivity</w:t>
      </w:r>
    </w:p>
    <w:p>
      <w:pPr>
        <w:spacing w:before="0" w:after="80"/>
      </w:pPr>
      <w:r>
        <w:rPr>
          <w:rFonts w:ascii="Plus Jakarta Sans" w:hAnsi="Plus Jakarta Sans"/>
          <w:color w:val="8E9297"/>
          <w:sz w:val="18"/>
        </w:rPr>
        <w:t>Break-even txn/mo = F / C, where C ≈ GHS 8.00 net per transaction [verify].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4" w:space="0" w:color="D9D9D5"/>
          <w:right w:val="none" w:sz="0" w:space="0"/>
          <w:insideH w:val="single" w:sz="2" w:space="0" w:color="E7E7E4"/>
          <w:insideV w:val="none" w:sz="0" w:space="0"/>
        </w:tblBorders>
      </w:tblPr>
      <w:tblGrid>
        <w:gridCol w:w="4873"/>
        <w:gridCol w:w="4873"/>
      </w:tblGrid>
      <w:tr>
        <w:tc>
          <w:tcPr>
            <w:tcW w:type="dxa" w:w="5040"/>
            <w:shd w:fill="F1F1EF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Monthly fixed cost (GHS)</w:t>
            </w:r>
          </w:p>
        </w:tc>
        <w:tc>
          <w:tcPr>
            <w:tcW w:type="dxa" w:w="3600"/>
            <w:shd w:fill="F1F1EF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Break-even txn/mo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500 (lean target)</w:t>
            </w:r>
          </w:p>
        </w:tc>
        <w:tc>
          <w:tcPr>
            <w:tcW w:type="dxa" w:w="3600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27A45"/>
                <w:sz w:val="18"/>
              </w:rPr>
              <w:t>63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1,500</w:t>
            </w:r>
          </w:p>
        </w:tc>
        <w:tc>
          <w:tcPr>
            <w:tcW w:type="dxa" w:w="3600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188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3,000</w:t>
            </w:r>
          </w:p>
        </w:tc>
        <w:tc>
          <w:tcPr>
            <w:tcW w:type="dxa" w:w="3600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375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6,000</w:t>
            </w:r>
          </w:p>
        </w:tc>
        <w:tc>
          <w:tcPr>
            <w:tcW w:type="dxa" w:w="3600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750</w:t>
            </w:r>
          </w:p>
        </w:tc>
      </w:tr>
    </w:tbl>
    <w:p>
      <w:pPr>
        <w:spacing w:before="80" w:after="120"/>
      </w:pPr>
      <w:r>
        <w:rPr>
          <w:rFonts w:ascii="Plus Jakarta Sans" w:hAnsi="Plus Jakarta Sans"/>
          <w:b/>
          <w:color w:val="17181B"/>
          <w:sz w:val="18"/>
        </w:rPr>
        <w:t xml:space="preserve">Break-even is far more sensitive to infrastructure choices than to pricing. </w:t>
      </w:r>
      <w:r>
        <w:rPr>
          <w:rFonts w:ascii="Plus Jakarta Sans" w:hAnsi="Plus Jakarta Sans"/>
          <w:b w:val="0"/>
          <w:color w:val="4A4D52"/>
          <w:sz w:val="18"/>
        </w:rPr>
        <w:t>Provisioning a GPU before needed multiplies break-even 6–12×.</w:t>
      </w:r>
    </w:p>
    <w:p>
      <w:pPr>
        <w:pStyle w:val="Heading2"/>
      </w:pPr>
      <w:r>
        <w:t>5. 12-month pilot projection (lean scenario)</w:t>
      </w:r>
    </w:p>
    <w:p>
      <w:pPr>
        <w:spacing w:before="0" w:after="80"/>
      </w:pPr>
      <w:r>
        <w:rPr>
          <w:rFonts w:ascii="Plus Jakarta Sans" w:hAnsi="Plus Jakarta Sans"/>
          <w:color w:val="8E9297"/>
          <w:sz w:val="17"/>
        </w:rPr>
        <w:t>Assumes: 2.0% commission, GHS 450 avg ticket, GHS 500/mo fixed costs, 10–20 vendors, no paid marketing. Months 1–2 = pre-launch setup.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4" w:space="0" w:color="D9D9D5"/>
          <w:right w:val="none" w:sz="0" w:space="0"/>
          <w:insideH w:val="single" w:sz="2" w:space="0" w:color="E7E7E4"/>
          <w:insideV w:val="none" w:sz="0" w:space="0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2304"/>
            <w:shd w:fill="F1F1EF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</w:r>
          </w:p>
        </w:tc>
        <w:tc>
          <w:tcPr>
            <w:tcW w:type="dxa" w:w="1008"/>
            <w:shd w:fill="F1F1EF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M1</w:t>
            </w:r>
          </w:p>
        </w:tc>
        <w:tc>
          <w:tcPr>
            <w:tcW w:type="dxa" w:w="1008"/>
            <w:shd w:fill="F1F1EF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M2</w:t>
            </w:r>
          </w:p>
        </w:tc>
        <w:tc>
          <w:tcPr>
            <w:tcW w:type="dxa" w:w="1008"/>
            <w:shd w:fill="F1F1EF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M3</w:t>
            </w:r>
          </w:p>
        </w:tc>
        <w:tc>
          <w:tcPr>
            <w:tcW w:type="dxa" w:w="1008"/>
            <w:shd w:fill="F1F1EF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M4</w:t>
            </w:r>
          </w:p>
        </w:tc>
        <w:tc>
          <w:tcPr>
            <w:tcW w:type="dxa" w:w="1008"/>
            <w:shd w:fill="F1F1EF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M5</w:t>
            </w:r>
          </w:p>
        </w:tc>
        <w:tc>
          <w:tcPr>
            <w:tcW w:type="dxa" w:w="1008"/>
            <w:shd w:fill="F1F1EF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M6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Active vendors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10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15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20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20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20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Txn/vendor/mo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—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2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3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4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5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6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Released txn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20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45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80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100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120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GMV (GHS)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9,000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20,250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36,000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45,000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54,000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Gross commission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180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405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720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900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1,080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Aggregator fees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−135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−304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−540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−675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−810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Payout fees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−20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−45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−80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−100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−120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Net revenue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4A4D52"/>
                <w:sz w:val="16"/>
              </w:rPr>
              <w:t>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27A45"/>
                <w:sz w:val="16"/>
              </w:rPr>
              <w:t>25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27A45"/>
                <w:sz w:val="16"/>
              </w:rPr>
              <w:t>56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27A45"/>
                <w:sz w:val="16"/>
              </w:rPr>
              <w:t>100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27A45"/>
                <w:sz w:val="16"/>
              </w:rPr>
              <w:t>125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27A45"/>
                <w:sz w:val="16"/>
              </w:rPr>
              <w:t>150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Fixed costs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−500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−500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−500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−500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−500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−500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Loss reserve (2%)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−180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−405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−720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−900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  <w:t>−1,080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Monthly P&amp;L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−500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−655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−849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−1,120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−1,275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−1,430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Cumulative P&amp;L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−500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−1,155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−2,004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−3,124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−4,399</w:t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7181B"/>
                <w:sz w:val="16"/>
              </w:rPr>
              <w:t>−5,829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</w:r>
          </w:p>
        </w:tc>
        <w:tc>
          <w:tcPr>
            <w:tcW w:type="dxa" w:w="100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6"/>
              </w:rPr>
            </w:r>
          </w:p>
        </w:tc>
      </w:tr>
    </w:tbl>
    <w:p>
      <w:pPr>
        <w:spacing w:before="80" w:after="40"/>
      </w:pPr>
      <w:r>
        <w:rPr>
          <w:rFonts w:ascii="Plus Jakarta Sans" w:hAnsi="Plus Jakarta Sans"/>
          <w:b/>
          <w:color w:val="17181B"/>
          <w:sz w:val="17"/>
        </w:rPr>
        <w:t xml:space="preserve">Months 1–2: </w:t>
      </w:r>
      <w:r>
        <w:rPr>
          <w:rFonts w:ascii="Plus Jakarta Sans" w:hAnsi="Plus Jakarta Sans"/>
          <w:b w:val="0"/>
          <w:color w:val="8E9297"/>
          <w:sz w:val="17"/>
        </w:rPr>
        <w:t>Pre-launch setup (entity, aggregator, vendors). Months 3–6: supervised pilot. Loss reserve at 2% of GMV funds goodwill refunds and adjudication errors.</w:t>
      </w:r>
    </w:p>
    <w:p>
      <w:pPr>
        <w:spacing w:before="0" w:after="120"/>
      </w:pPr>
      <w:r>
        <w:rPr>
          <w:rFonts w:ascii="Plus Jakarta Sans" w:hAnsi="Plus Jakarta Sans"/>
          <w:b/>
          <w:color w:val="17181B"/>
          <w:sz w:val="17"/>
        </w:rPr>
        <w:t xml:space="preserve">M7–M12 trajectory: </w:t>
      </w:r>
      <w:r>
        <w:rPr>
          <w:rFonts w:ascii="Plus Jakarta Sans" w:hAnsi="Plus Jakarta Sans"/>
          <w:b w:val="0"/>
          <w:color w:val="8E9297"/>
          <w:sz w:val="17"/>
        </w:rPr>
        <w:t xml:space="preserve">at 8 txn/vendor/mo × 25 vendors = 200 txn/mo, GMV GHS 90,000, net revenue ≈ GHS 250/mo. Still below break-even on lean costs. </w:t>
      </w:r>
      <w:r>
        <w:rPr>
          <w:rFonts w:ascii="Plus Jakarta Sans" w:hAnsi="Plus Jakarta Sans"/>
          <w:b/>
          <w:color w:val="17181B"/>
          <w:sz w:val="17"/>
        </w:rPr>
        <w:t>Electronics/sneakers avg ticket (GHS 1,200) reaches break-even at ~42 txn/mo.</w:t>
      </w:r>
    </w:p>
    <w:p>
      <w:pPr>
        <w:pStyle w:val="Heading2"/>
      </w:pPr>
      <w:r>
        <w:t>6. Working capital &amp; reserves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4" w:space="0" w:color="D9D9D5"/>
          <w:right w:val="none" w:sz="0" w:space="0"/>
          <w:insideH w:val="single" w:sz="2" w:space="0" w:color="E7E7E4"/>
          <w:insideV w:val="none" w:sz="0" w:space="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160"/>
            <w:shd w:fill="F1F1EF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7"/>
              </w:rPr>
              <w:t>Monthly txn</w:t>
            </w:r>
          </w:p>
        </w:tc>
        <w:tc>
          <w:tcPr>
            <w:tcW w:type="dxa" w:w="1872"/>
            <w:shd w:fill="F1F1EF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7"/>
              </w:rPr>
              <w:t>GMV (GHS)</w:t>
            </w:r>
          </w:p>
        </w:tc>
        <w:tc>
          <w:tcPr>
            <w:tcW w:type="dxa" w:w="2304"/>
            <w:shd w:fill="F1F1EF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7"/>
              </w:rPr>
              <w:t>Float (T+2)</w:t>
            </w:r>
          </w:p>
        </w:tc>
        <w:tc>
          <w:tcPr>
            <w:tcW w:type="dxa" w:w="2304"/>
            <w:shd w:fill="F1F1EF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7"/>
              </w:rPr>
              <w:t>Loss reserve @2%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7"/>
              </w:rPr>
              <w:t>63 (break-even)</w:t>
            </w:r>
          </w:p>
        </w:tc>
        <w:tc>
          <w:tcPr>
            <w:tcW w:type="dxa" w:w="1872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7"/>
              </w:rPr>
              <w:t>28,350</w:t>
            </w:r>
          </w:p>
        </w:tc>
        <w:tc>
          <w:tcPr>
            <w:tcW w:type="dxa" w:w="2304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7"/>
              </w:rPr>
              <w:t>2,000–2,800</w:t>
            </w:r>
          </w:p>
        </w:tc>
        <w:tc>
          <w:tcPr>
            <w:tcW w:type="dxa" w:w="2304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7"/>
              </w:rPr>
              <w:t>570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7"/>
              </w:rPr>
              <w:t>300</w:t>
            </w:r>
          </w:p>
        </w:tc>
        <w:tc>
          <w:tcPr>
            <w:tcW w:type="dxa" w:w="1872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7"/>
              </w:rPr>
              <w:t>135,000</w:t>
            </w:r>
          </w:p>
        </w:tc>
        <w:tc>
          <w:tcPr>
            <w:tcW w:type="dxa" w:w="2304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7"/>
              </w:rPr>
              <w:t>9,000–13,500</w:t>
            </w:r>
          </w:p>
        </w:tc>
        <w:tc>
          <w:tcPr>
            <w:tcW w:type="dxa" w:w="2304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7"/>
              </w:rPr>
              <w:t>2,700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7"/>
              </w:rPr>
              <w:t>1,000</w:t>
            </w:r>
          </w:p>
        </w:tc>
        <w:tc>
          <w:tcPr>
            <w:tcW w:type="dxa" w:w="1872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7"/>
              </w:rPr>
              <w:t>450,000</w:t>
            </w:r>
          </w:p>
        </w:tc>
        <w:tc>
          <w:tcPr>
            <w:tcW w:type="dxa" w:w="2304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7"/>
              </w:rPr>
              <w:t>30,000–45,000</w:t>
            </w:r>
          </w:p>
        </w:tc>
        <w:tc>
          <w:tcPr>
            <w:tcW w:type="dxa" w:w="2304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7"/>
              </w:rPr>
              <w:t>9,000</w:t>
            </w:r>
          </w:p>
        </w:tc>
      </w:tr>
    </w:tbl>
    <w:p>
      <w:pPr>
        <w:spacing w:before="80" w:after="120"/>
      </w:pPr>
      <w:r>
        <w:rPr>
          <w:rFonts w:ascii="Plus Jakarta Sans" w:hAnsi="Plus Jakarta Sans"/>
          <w:b/>
          <w:color w:val="17181B"/>
          <w:sz w:val="17"/>
        </w:rPr>
        <w:t xml:space="preserve">Settlement lag: </w:t>
      </w:r>
      <w:r>
        <w:rPr>
          <w:rFonts w:ascii="Plus Jakarta Sans" w:hAnsi="Plus Jakarta Sans"/>
          <w:b w:val="0"/>
          <w:color w:val="8E9297"/>
          <w:sz w:val="17"/>
        </w:rPr>
        <w:t>if aggregator settles T+2 but Croe pays vendor on delivery (T+0), Croe fronts the difference. Option (a): delay payout to match settlement — worse product. Option (b): hold working capital. Decide explicitly.</w:t>
      </w:r>
    </w:p>
    <w:p>
      <w:pPr>
        <w:pStyle w:val="Heading2"/>
      </w:pPr>
      <w:r>
        <w:t>7. Cash required to reach pilot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4" w:space="0" w:color="D9D9D5"/>
          <w:right w:val="none" w:sz="0" w:space="0"/>
          <w:insideH w:val="single" w:sz="2" w:space="0" w:color="E7E7E4"/>
          <w:insideV w:val="none" w:sz="0" w:space="0"/>
        </w:tblBorders>
      </w:tblPr>
      <w:tblGrid>
        <w:gridCol w:w="3249"/>
        <w:gridCol w:w="3249"/>
        <w:gridCol w:w="3249"/>
      </w:tblGrid>
      <w:tr>
        <w:tc>
          <w:tcPr>
            <w:tcW w:type="dxa" w:w="5040"/>
            <w:shd w:fill="F1F1EF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Tier</w:t>
            </w:r>
          </w:p>
        </w:tc>
        <w:tc>
          <w:tcPr>
            <w:tcW w:type="dxa" w:w="1872"/>
            <w:shd w:fill="F1F1EF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GHS</w:t>
            </w:r>
          </w:p>
        </w:tc>
        <w:tc>
          <w:tcPr>
            <w:tcW w:type="dxa" w:w="1728"/>
            <w:shd w:fill="F1F1EF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USD equiv.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Bootstrap — self-filed, lean, pen test deferred</w:t>
            </w:r>
          </w:p>
        </w:tc>
        <w:tc>
          <w:tcPr>
            <w:tcW w:type="dxa" w:w="1872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15,000–30,000</w:t>
            </w:r>
          </w:p>
        </w:tc>
        <w:tc>
          <w:tcPr>
            <w:tcW w:type="dxa" w:w="172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1,200–2,500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Recommended — proper legal, pen test, real infra</w:t>
            </w:r>
          </w:p>
        </w:tc>
        <w:tc>
          <w:tcPr>
            <w:tcW w:type="dxa" w:w="1872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60,000–185,000</w:t>
            </w:r>
          </w:p>
        </w:tc>
        <w:tc>
          <w:tcPr>
            <w:tcW w:type="dxa" w:w="172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5,000–15,000</w:t>
            </w:r>
          </w:p>
        </w:tc>
      </w:tr>
    </w:tbl>
    <w:p>
      <w:pPr>
        <w:spacing w:before="80" w:after="120"/>
      </w:pPr>
      <w:r>
        <w:rPr>
          <w:rFonts w:ascii="Plus Jakarta Sans" w:hAnsi="Plus Jakarta Sans"/>
          <w:b/>
          <w:color w:val="17181B"/>
          <w:sz w:val="18"/>
        </w:rPr>
        <w:t xml:space="preserve">Setup cost dwarfs per-transaction margin. </w:t>
      </w:r>
      <w:r>
        <w:rPr>
          <w:rFonts w:ascii="Plus Jakarta Sans" w:hAnsi="Plus Jakarta Sans"/>
          <w:b w:val="0"/>
          <w:color w:val="4A4D52"/>
          <w:sz w:val="18"/>
        </w:rPr>
        <w:t>Average ticket size is the most powerful lever — same product, same cost base, 3× faster to profitability at GHS 1,200 avg.</w:t>
      </w:r>
    </w:p>
    <w:p>
      <w:pPr>
        <w:pStyle w:val="Heading2"/>
      </w:pPr>
      <w:r>
        <w:t>8. Segment economics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4" w:space="0" w:color="D9D9D5"/>
          <w:right w:val="none" w:sz="0" w:space="0"/>
          <w:insideH w:val="single" w:sz="2" w:space="0" w:color="E7E7E4"/>
          <w:insideV w:val="none" w:sz="0" w:space="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3168"/>
            <w:shd w:fill="F1F1EF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Segment</w:t>
            </w:r>
          </w:p>
        </w:tc>
        <w:tc>
          <w:tcPr>
            <w:tcW w:type="dxa" w:w="1872"/>
            <w:shd w:fill="F1F1EF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Avg ticket</w:t>
            </w:r>
          </w:p>
        </w:tc>
        <w:tc>
          <w:tcPr>
            <w:tcW w:type="dxa" w:w="1728"/>
            <w:shd w:fill="F1F1EF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Net/txn</w:t>
            </w:r>
          </w:p>
        </w:tc>
        <w:tc>
          <w:tcPr>
            <w:tcW w:type="dxa" w:w="2592"/>
            <w:shd w:fill="F1F1EF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Txn to repay 100K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General social commerce</w:t>
            </w:r>
          </w:p>
        </w:tc>
        <w:tc>
          <w:tcPr>
            <w:tcW w:type="dxa" w:w="1872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450</w:t>
            </w:r>
          </w:p>
        </w:tc>
        <w:tc>
          <w:tcPr>
            <w:tcW w:type="dxa" w:w="172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≈ 8</w:t>
            </w:r>
          </w:p>
        </w:tc>
        <w:tc>
          <w:tcPr>
            <w:tcW w:type="dxa" w:w="2592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12,500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Beauty / thrift</w:t>
            </w:r>
          </w:p>
        </w:tc>
        <w:tc>
          <w:tcPr>
            <w:tcW w:type="dxa" w:w="1872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~700</w:t>
            </w:r>
          </w:p>
        </w:tc>
        <w:tc>
          <w:tcPr>
            <w:tcW w:type="dxa" w:w="172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≈ 13</w:t>
            </w:r>
          </w:p>
        </w:tc>
        <w:tc>
          <w:tcPr>
            <w:tcW w:type="dxa" w:w="2592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~7,700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Electronics / sneakers</w:t>
            </w:r>
          </w:p>
        </w:tc>
        <w:tc>
          <w:tcPr>
            <w:tcW w:type="dxa" w:w="1872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~1,200</w:t>
            </w:r>
          </w:p>
        </w:tc>
        <w:tc>
          <w:tcPr>
            <w:tcW w:type="dxa" w:w="1728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27A45"/>
                <w:sz w:val="18"/>
              </w:rPr>
              <w:t>≈ 23</w:t>
            </w:r>
          </w:p>
        </w:tc>
        <w:tc>
          <w:tcPr>
            <w:tcW w:type="dxa" w:w="2592"/>
          </w:tcPr>
          <w:p>
            <w:pPr>
              <w:spacing w:before="40" w:after="40"/>
              <w:jc w:val="right"/>
            </w:pPr>
            <w:r/>
            <w:r>
              <w:rPr>
                <w:rFonts w:ascii="Plus Jakarta Sans" w:hAnsi="Plus Jakarta Sans"/>
                <w:b/>
                <w:color w:val="127A45"/>
                <w:sz w:val="18"/>
              </w:rPr>
              <w:t>~4,350</w:t>
            </w:r>
          </w:p>
        </w:tc>
      </w:tr>
    </w:tbl>
    <w:p>
      <w:pPr>
        <w:pStyle w:val="Heading2"/>
      </w:pPr>
      <w:r>
        <w:t>9. The ask &amp; use of funds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4" w:space="0" w:color="D9D9D5"/>
          <w:right w:val="none" w:sz="0" w:space="0"/>
          <w:insideH w:val="single" w:sz="2" w:space="0" w:color="E7E7E4"/>
          <w:insideV w:val="none" w:sz="0" w:space="0"/>
        </w:tblBorders>
      </w:tblPr>
      <w:tblGrid>
        <w:gridCol w:w="4873"/>
        <w:gridCol w:w="4873"/>
      </w:tblGrid>
      <w:tr>
        <w:tc>
          <w:tcPr>
            <w:tcW w:type="dxa" w:w="4032"/>
            <w:shd w:fill="F1F1EF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Use of funds</w:t>
            </w:r>
          </w:p>
        </w:tc>
        <w:tc>
          <w:tcPr>
            <w:tcW w:type="dxa" w:w="4608"/>
            <w:shd w:fill="F1F1EF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What it buys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Legal &amp; regulatory setup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Custody structuring, ToS, entity registration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Licensed custody partner onboarding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The P2 milestone — fully compliant scale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Security audit (pen test)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Evidence for P2 partner + investor diligence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/>
                <w:color w:val="17181B"/>
                <w:sz w:val="18"/>
              </w:rPr>
              <w:t>60-day supervised pilot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Plus Jakarta Sans" w:hAnsi="Plus Jakarta Sans"/>
                <w:b w:val="0"/>
                <w:color w:val="4A4D52"/>
                <w:sz w:val="18"/>
              </w:rPr>
              <w:t>[FILL: N] vendors · high-ticket segment · measured metrics</w:t>
            </w:r>
          </w:p>
        </w:tc>
      </w:tr>
    </w:tbl>
    <w:p>
      <w:pPr>
        <w:spacing w:before="120" w:after="160"/>
      </w:pPr>
      <w:r>
        <w:rPr>
          <w:rFonts w:ascii="Plus Jakarta Sans" w:hAnsi="Plus Jakarta Sans"/>
          <w:b/>
          <w:color w:val="17181B"/>
          <w:sz w:val="19"/>
        </w:rPr>
        <w:t xml:space="preserve">Milestone: </w:t>
      </w:r>
      <w:r>
        <w:rPr>
          <w:rFonts w:ascii="Plus Jakarta Sans" w:hAnsi="Plus Jakarta Sans"/>
          <w:b w:val="0"/>
          <w:color w:val="4A4D52"/>
          <w:sz w:val="19"/>
        </w:rPr>
        <w:t>first real transactions on licensed rails, with measured dispute rate, adjudication accuracy, and vendor retention. The only input that makes a real pre-seed conversation work.</w:t>
      </w:r>
    </w:p>
    <w:p>
      <w:pPr>
        <w:pBdr>
          <w:top w:val="single" w:sz="4" w:space="1" w:color="D9D9D5"/>
        </w:pBdr>
        <w:spacing w:before="120" w:after="80"/>
      </w:pPr>
    </w:p>
    <w:p>
      <w:pPr>
        <w:spacing w:before="40" w:after="0"/>
      </w:pPr>
      <w:r>
        <w:rPr>
          <w:rFonts w:ascii="Plus Jakarta Sans" w:hAnsi="Plus Jakarta Sans"/>
          <w:b/>
          <w:color w:val="17181B"/>
          <w:sz w:val="18"/>
        </w:rPr>
        <w:t>[FILL: Name]</w:t>
      </w:r>
      <w:r>
        <w:rPr>
          <w:rFonts w:ascii="Plus Jakarta Sans" w:hAnsi="Plus Jakarta Sans"/>
          <w:b w:val="0"/>
          <w:color w:val="8E9297"/>
          <w:sz w:val="17"/>
        </w:rPr>
        <w:t xml:space="preserve">  ·  Founder  ·  </w:t>
      </w:r>
      <w:r>
        <w:rPr>
          <w:rFonts w:ascii="Plus Jakarta Sans" w:hAnsi="Plus Jakarta Sans"/>
          <w:b w:val="0"/>
          <w:color w:val="8E9297"/>
          <w:sz w:val="17"/>
        </w:rPr>
        <w:t>[FILL: email]</w:t>
      </w:r>
      <w:r>
        <w:rPr>
          <w:rFonts w:ascii="Plus Jakarta Sans" w:hAnsi="Plus Jakarta Sans"/>
          <w:b w:val="0"/>
          <w:color w:val="8E9297"/>
          <w:sz w:val="17"/>
        </w:rPr>
        <w:t xml:space="preserve">  ·  </w:t>
      </w:r>
      <w:r>
        <w:rPr>
          <w:rFonts w:ascii="Plus Jakarta Sans" w:hAnsi="Plus Jakarta Sans"/>
          <w:b w:val="0"/>
          <w:color w:val="8E9297"/>
          <w:sz w:val="17"/>
        </w:rPr>
        <w:t>[FILL: phone]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12" w:lineRule="auto"/>
    </w:pPr>
    <w:rPr>
      <w:rFonts w:ascii="Plus Jakarta Sans" w:hAnsi="Plus Jakarta Sans"/>
      <w:color w:val="4A4D5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Plus Jakarta Sans" w:hAnsi="Plus Jakarta Sans"/>
      <w:b/>
      <w:bCs/>
      <w:color w:val="17181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60"/>
      <w:outlineLvl w:val="1"/>
    </w:pPr>
    <w:rPr>
      <w:rFonts w:asciiTheme="majorHAnsi" w:eastAsiaTheme="majorEastAsia" w:hAnsiTheme="majorHAnsi" w:cstheme="majorBidi" w:ascii="Plus Jakarta Sans" w:hAnsi="Plus Jakarta Sans"/>
      <w:b/>
      <w:bCs/>
      <w:color w:val="17181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Plus Jakarta Sans" w:hAnsi="Plus Jakarta Sans"/>
      <w:b/>
      <w:bCs/>
      <w:color w:val="17181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