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600"/>
      </w:tblGrid>
      <w:tr>
        <w:tc>
          <w:tcPr>
            <w:tcW w:type="dxa" w:w="4968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097280" cy="3331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e_wordmark_d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333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spacing w:before="80" w:after="0"/>
              <w:jc w:val="right"/>
            </w:pPr>
            <w:r>
              <w:rPr>
                <w:rFonts w:ascii="Segoe UI" w:hAnsi="Segoe UI"/>
                <w:b/>
                <w:color w:val="2563EB"/>
                <w:sz w:val="18"/>
              </w:rPr>
              <w:t>INSTITUTIONAL PARTNERSHIP BRIEF · BOG ACT 987 COMPLIANT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0F172A"/>
          <w:sz w:val="44"/>
        </w:rPr>
        <w:t>croe. - Banking Partner &amp; Custody Brief</w:t>
      </w:r>
    </w:p>
    <w:p>
      <w:pPr>
        <w:spacing w:before="0" w:after="320"/>
      </w:pPr>
      <w:r>
        <w:rPr>
          <w:rFonts w:ascii="Segoe UI" w:hAnsi="Segoe UI"/>
          <w:color w:val="64748B"/>
          <w:sz w:val="24"/>
        </w:rPr>
        <w:t>Institutional Due-Diligence, Trust Architecture &amp; Regulatory Compliance</w:t>
      </w:r>
    </w:p>
    <w:p>
      <w:pPr>
        <w:spacing w:before="0" w:after="280"/>
      </w:pPr>
      <w:r>
        <w:rPr>
          <w:color w:val="E2E8F0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1. Executive Summary &amp; Partnership Proposition</w:t>
      </w:r>
    </w:p>
    <w:p>
      <w:pPr>
        <w:spacing w:before="0"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The Opportunity: </w:t>
      </w:r>
      <w:r>
        <w:rPr>
          <w:rFonts w:ascii="Segoe UI" w:hAnsi="Segoe UI"/>
          <w:color w:val="334155"/>
          <w:sz w:val="20"/>
        </w:rPr>
        <w:t>Croe is a mobile-first trust and escrow transaction service for emerging-market social commerce, launching Ghana-first on Mobile Money rails. Croe acts as a technology orchestration platform that channels high-velocity social commerce payments into a licensed partner bank trust account.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Value Delivered to Partner Bank</w:t>
            </w:r>
          </w:p>
        </w:tc>
        <w:tc>
          <w:tcPr>
            <w:tcW w:type="dxa" w:w="4968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Operational Role of Partner Bank</w:t>
            </w:r>
          </w:p>
        </w:tc>
      </w:tr>
      <w:tr>
        <w:tc>
          <w:tcPr>
            <w:tcW w:type="dxa" w:w="4968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Low-Cost Float Growth: Sticky, non-interest-bearing escrow deposits residing in a pooled trust account (CASA float).</w:t>
            </w:r>
          </w:p>
        </w:tc>
        <w:tc>
          <w:tcPr>
            <w:tcW w:type="dxa" w:w="4968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Custodial Trust Account: Provide a dedicated pooled escrow trust account under Bank of Ghana guidelines.</w:t>
            </w:r>
          </w:p>
        </w:tc>
      </w:tr>
      <w:tr>
        <w:tc>
          <w:tcPr>
            <w:tcW w:type="dxa" w:w="4968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Transactional Revenue: Transaction fee revenue on high-velocity inbound collections and outbound B2C wallet disbursements.</w:t>
            </w:r>
          </w:p>
        </w:tc>
        <w:tc>
          <w:tcPr>
            <w:tcW w:type="dxa" w:w="4968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Automated Reconciliation: Automated electronic statement feed (MT940 / API) for daily 3-way balance matching.</w:t>
            </w:r>
          </w:p>
        </w:tc>
      </w:tr>
    </w:tbl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2. Regulatory Architecture: The Non-Custodial Tech Provider</w:t>
      </w:r>
    </w:p>
    <w:p>
      <w:pPr>
        <w:spacing w:before="0"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Act 987 Compliance: </w:t>
      </w:r>
      <w:r>
        <w:rPr>
          <w:rFonts w:ascii="Segoe UI" w:hAnsi="Segoe UI"/>
          <w:color w:val="334155"/>
          <w:sz w:val="20"/>
        </w:rPr>
        <w:t>Croe is not a bank, does not issue electronic money, and never holds customer funds on its corporate balance sheet. Holding third-party funds in Ghana is governed by the Bank of Ghana under the Payment Systems and Services Act, 2019 (Act 987). Croe achieves compliance via a Phased Custody Architecture where float is held strictly by licensed institutions: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Legal Role of Croe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Float Holder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Compliance Standing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P0: Build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Software Developer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Nobody (Sandbox)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Development only; 354 automated tests.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P1: Pilot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Technology Merchant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Aggregator Settlement Account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Interim supervised pilot; capped volumes (~250 orders/month by month 6).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P2: Partner-Held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Payment Tech Provider (PFTSP)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Licensed Bank Pooled Trust Account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Fully compliant institutional launch; bank-held trust account.</w:t>
            </w:r>
          </w:p>
        </w:tc>
      </w:tr>
    </w:tbl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3. Double-Spend Defense &amp; Ledger Immutability</w:t>
      </w:r>
    </w:p>
    <w:p>
      <w:pPr>
        <w:spacing w:before="0"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Triple-Lock Concurrency: </w:t>
      </w:r>
      <w:r>
        <w:rPr>
          <w:rFonts w:ascii="Segoe UI" w:hAnsi="Segoe UI"/>
          <w:color w:val="334155"/>
          <w:sz w:val="20"/>
        </w:rPr>
        <w:t>Croe incorporates three structural layers of defense preventing financial double-spend or unauthorized disbursement:</w:t>
      </w:r>
    </w:p>
    <w:p>
      <w:pPr>
        <w:spacing w:before="0" w:after="120" w:line="276" w:lineRule="auto"/>
      </w:pPr>
      <w:r>
        <w:rPr>
          <w:rFonts w:ascii="Segoe UI" w:hAnsi="Segoe UI"/>
          <w:color w:val="334155"/>
          <w:sz w:val="20"/>
        </w:rPr>
        <w:t>1. Redis Distributed Fast Dedup: SETNX with 24-hour TTL guarantees instantaneous short-circuiting of duplicate webhooks.</w:t>
        <w:br/>
        <w:t>2. Row Locking (SELECT ... FOR UPDATE): All state mutations serialize concurrent requests at the PostgreSQL database row level.</w:t>
        <w:br/>
        <w:t>3. Partial Unique Indexes: Error 23505 traps guarantee that concurrent deposits or duplicate payouts fail structurally.</w:t>
      </w:r>
    </w:p>
    <w:p>
      <w:pPr>
        <w:spacing w:before="0"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Append-Only Sub-Ledger: </w:t>
      </w:r>
      <w:r>
        <w:rPr>
          <w:rFonts w:ascii="Segoe UI" w:hAnsi="Segoe UI"/>
          <w:color w:val="334155"/>
          <w:sz w:val="20"/>
        </w:rPr>
        <w:t>Balance history resides in an append-only transaction_ledger where UPDATE and DELETE privileges are permanently revoked at the database role level.</w:t>
      </w:r>
    </w:p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4. KYC &amp; AML Compliance Controls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Verification Requirements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Per-Transaction Cap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Daily Limit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Tier 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Phone verified via MoMo OTP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500.00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1,000.00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Tier 1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Full Name + Ghana Card / Passport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5,000.00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20,000.00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Tier 2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Enhanced Due Diligence (EDD) + Address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50,000.00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100,000.00</w:t>
            </w:r>
          </w:p>
        </w:tc>
      </w:tr>
    </w:tbl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5. Automated Daily Three-Way Reconciliation</w:t>
      </w:r>
    </w:p>
    <w:p>
      <w:pPr>
        <w:spacing w:before="0"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Circuit Breaker: </w:t>
      </w:r>
      <w:r>
        <w:rPr>
          <w:rFonts w:ascii="Segoe UI" w:hAnsi="Segoe UI"/>
          <w:color w:val="334155"/>
          <w:sz w:val="20"/>
        </w:rPr>
        <w:t>Every 24 hours, Croe executes an automated three-way reconciliation matching: (1) Bank Partner Escrow Float Account statement balance, (2) Sum of active unreleased funds in the immutable transaction ledger, and (3) Physical payment rail transaction logs. If any non-zero variance occurs, the system logs a Priority 1 (P1) incident, halts automated disbursement workers, and alerts operations.</w:t>
      </w:r>
    </w:p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6. Projected Commercial Scale for Banking Partner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Monthly Completed Txns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Monthly Processing Volume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Average Daily Float in Bank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Supervised Pilot (month 6)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250 txns / mo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200,000.00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13,000 – 20,000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Compliant Launch (month 18)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5,000 txns / mo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4,000,000.00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267,000 – 400,000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Scale (month 36)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30,000 txns / mo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24,000,000.00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1.6M – 2.4M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64748B"/>
        <w:sz w:val="17"/>
      </w:rPr>
      <w:t>Banking Partner &amp; Custody Brief  |  croe.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