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600"/>
      </w:tblGrid>
      <w:tr>
        <w:tc>
          <w:tcPr>
            <w:tcW w:type="dxa" w:w="4968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097280" cy="3331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e_wordmark_dar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333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pPr>
              <w:spacing w:before="80" w:after="0"/>
              <w:jc w:val="right"/>
            </w:pPr>
            <w:r>
              <w:rPr>
                <w:rFonts w:ascii="Segoe UI" w:hAnsi="Segoe UI"/>
                <w:b/>
                <w:color w:val="2563EB"/>
                <w:sz w:val="18"/>
              </w:rPr>
              <w:t>FINANCIAL MODEL · 25 SEP 2026 · RULE FIN-01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0F172A"/>
          <w:sz w:val="44"/>
        </w:rPr>
        <w:t>croe. - Financial Model &amp; Unit Economics</w:t>
      </w:r>
    </w:p>
    <w:p>
      <w:pPr>
        <w:spacing w:before="0" w:after="320"/>
      </w:pPr>
      <w:r>
        <w:rPr>
          <w:rFonts w:ascii="Segoe UI" w:hAnsi="Segoe UI"/>
          <w:color w:val="64748B"/>
          <w:sz w:val="24"/>
        </w:rPr>
        <w:t>Per-Order Economics, Staged Capital Plan &amp; Break-Even Sensitivity</w:t>
      </w:r>
    </w:p>
    <w:p>
      <w:pPr>
        <w:spacing w:before="0" w:after="280"/>
      </w:pPr>
      <w:r>
        <w:rPr>
          <w:color w:val="E2E8F0"/>
          <w:sz w:val="16"/>
        </w:rPr>
        <w:t>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36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B45309"/>
              <w:top w:val="none"/>
              <w:right w:val="none"/>
              <w:bottom w:val="none"/>
            </w:tcBorders>
          </w:tcPr>
          <w:p>
            <w:pPr>
              <w:spacing w:before="0" w:after="60"/>
            </w:pPr>
            <w:r>
              <w:rPr>
                <w:rFonts w:ascii="Segoe UI" w:hAnsi="Segoe UI"/>
                <w:b/>
                <w:color w:val="B45309"/>
                <w:sz w:val="19"/>
              </w:rPr>
              <w:t>⚡  THIS SUPERSEDES THE EARLIER MODEL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0F172A"/>
                <w:sz w:val="19"/>
              </w:rPr>
              <w:t>The earlier model assumed a 2.0% vendor commission netting GHS 22.50 per order, fixed costs under GHS 500/month and break-even at 22-63 orders/month. It left out the 1.95% MoMo collection fee and every salary. This model is rebuilt from published 2026 prices. FX: US$1 = GHS 11.60. All capital figures include 15% contingency.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Segoe UI" w:hAnsi="Segoe UI"/>
          <w:b/>
          <w:color w:val="2563EB"/>
          <w:sz w:val="28"/>
        </w:rPr>
        <w:t>1. Executive Summary of Numbers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Value (base case)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Range</w:t>
            </w:r>
          </w:p>
        </w:tc>
      </w:tr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Pricing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4.0% all-in = 2.5% vendor commission + 1.5% buyer protection fee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3.5% is the floor; 5% halves break-even</w:t>
            </w:r>
          </w:p>
        </w:tc>
      </w:tr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Net per released order (GHS 800 order)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GHS 10.33 (1.29% of order value)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GHS 4.67 at GHS 450 · GHS 16.80 at GHS 1,200</w:t>
            </w:r>
          </w:p>
        </w:tc>
      </w:tr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Capital to a licensed, compliant launch (stages 1-2, 18 months)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US$387k (GHS 4.48M)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US$189k - US$713k</w:t>
            </w:r>
          </w:p>
        </w:tc>
      </w:tr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Capital to scale (stage 3, months 19-36)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US$916k (GHS 10.63M)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US$442k - US$1.80M</w:t>
            </w:r>
          </w:p>
        </w:tc>
      </w:tr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Total over 36 months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US$1.30M (GHS 15.11M)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US$631k - US$2.52M</w:t>
            </w:r>
          </w:p>
        </w:tc>
      </w:tr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Fixed cost at month 36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GHS 637,000/month (US$54,900)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Team of ~25</w:t>
            </w:r>
          </w:p>
        </w:tc>
      </w:tr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Company break-even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~62,000 released orders/month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~34,800 at a 5% fee · ~34,500 with direct telco rails</w:t>
            </w:r>
          </w:p>
        </w:tc>
      </w:tr>
    </w:tbl>
    <w:p>
      <w:pPr>
        <w:spacing w:before="0" w:after="80" w:line="276" w:lineRule="auto"/>
      </w:pPr>
      <w:r>
        <w:rPr>
          <w:rFonts w:ascii="Segoe UI" w:hAnsi="Segoe UI"/>
          <w:color w:val="334155"/>
          <w:sz w:val="20"/>
        </w:rPr>
        <w:t>Low pairs bottom-of-range costs with base-case volume. High pairs top-of-range costs with half the base-case volume.</w:t>
      </w:r>
    </w:p>
    <w:p>
      <w:pPr>
        <w:spacing w:before="320" w:after="120"/>
      </w:pPr>
      <w:r>
        <w:rPr>
          <w:rFonts w:ascii="Segoe UI" w:hAnsi="Segoe UI"/>
          <w:b/>
          <w:color w:val="2563EB"/>
          <w:sz w:val="28"/>
        </w:rPr>
        <w:t>2. Pricing: Why 2% Cannot Work</w:t>
      </w:r>
    </w:p>
    <w:p>
      <w:pPr>
        <w:spacing w:before="0" w:after="120" w:line="276" w:lineRule="auto"/>
      </w:pPr>
      <w:r>
        <w:rPr>
          <w:rFonts w:ascii="Segoe UI" w:hAnsi="Segoe UI"/>
          <w:b/>
          <w:color w:val="0F172A"/>
          <w:sz w:val="20"/>
        </w:rPr>
        <w:t xml:space="preserve">Published fees: </w:t>
      </w:r>
      <w:r>
        <w:rPr>
          <w:rFonts w:ascii="Segoe UI" w:hAnsi="Segoe UI"/>
          <w:color w:val="334155"/>
          <w:sz w:val="20"/>
        </w:rPr>
        <w:t>MoMo collection costs 1.95% of the amount collected (Paystack; Hubtel 1.95%, min GHS 0.30), and each MoMo payout costs GHS 1.00 (Paystack). At a 2.0% vendor-only commission the collection fee alone uses up 98% of the fee, and Croe loses GHS 4.19-6.83 on every order.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2563EB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Party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2563EB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Fee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2563EB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On a GHS 1,200 order</w:t>
            </w:r>
          </w:p>
        </w:tc>
      </w:tr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Buyer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1.5% protection fee, shown at checkout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Pays GHS 1,218.00</w:t>
            </w:r>
          </w:p>
        </w:tc>
      </w:tr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Vendor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2.5% commission, deducted from payout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Receives GHS 1,170.00</w:t>
            </w:r>
          </w:p>
        </w:tc>
      </w:tr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Croe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4.0% gross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Earns GHS 48.00 gross -&gt; GHS 16.80 net</w:t>
            </w:r>
          </w:p>
        </w:tc>
      </w:tr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Refunded order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No fee to either party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Croe earns GHS 0.00</w:t>
            </w:r>
          </w:p>
        </w:tc>
      </w:tr>
    </w:tbl>
    <w:p>
      <w:pPr>
        <w:spacing w:before="0" w:after="120" w:line="276" w:lineRule="auto"/>
      </w:pPr>
      <w:r>
        <w:rPr>
          <w:rFonts w:ascii="Segoe UI" w:hAnsi="Segoe UI"/>
          <w:b/>
          <w:color w:val="0F172A"/>
          <w:sz w:val="20"/>
        </w:rPr>
        <w:t xml:space="preserve">Key risk: </w:t>
      </w:r>
      <w:r>
        <w:rPr>
          <w:rFonts w:ascii="Segoe UI" w:hAnsi="Segoe UI"/>
          <w:color w:val="334155"/>
          <w:sz w:val="20"/>
        </w:rPr>
        <w:t>Buyer acceptance of the 1.5% fee is the single most important thing the pilot must prove. The fallback is a 4% vendor-only commission.</w:t>
      </w:r>
    </w:p>
    <w:p>
      <w:pPr>
        <w:spacing w:before="320" w:after="120"/>
      </w:pPr>
      <w:r>
        <w:rPr>
          <w:rFonts w:ascii="Segoe UI" w:hAnsi="Segoe UI"/>
          <w:b/>
          <w:color w:val="2563EB"/>
          <w:sz w:val="28"/>
        </w:rPr>
        <w:t>3. Unit Economics per Released Order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GHS per released order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GHS 450 order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GHS 800 order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GHS 1,200 order</w:t>
            </w:r>
          </w:p>
        </w:tc>
      </w:tr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Croe fee: 2.5% vendor + 1.5% buyer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+ GHS 18.00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+ GHS 32.00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+ GHS 48.00</w:t>
            </w:r>
          </w:p>
        </w:tc>
      </w:tr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MoMo collection fee (1.95% of amount collected)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- GHS 8.91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- GHS 15.83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- GHS 23.75</w:t>
            </w:r>
          </w:p>
        </w:tc>
      </w:tr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Fraud &amp; loss reserve (0.3% of order)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- GHS 1.35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- GHS 2.40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- GHS 3.60</w:t>
            </w:r>
          </w:p>
        </w:tc>
      </w:tr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MoMo payout to vendor (flat)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- GHS 1.00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- GHS 1.00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- GHS 1.00</w:t>
            </w:r>
          </w:p>
        </w:tc>
      </w:tr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ID verification (amortised)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- GHS 1.00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- GHS 1.00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- GHS 1.00</w:t>
            </w:r>
          </w:p>
        </w:tc>
      </w:tr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Refund leakage (5% of orders refunded)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- GHS 0.52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- GHS 0.89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- GHS 1.30</w:t>
            </w:r>
          </w:p>
        </w:tc>
      </w:tr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SMS notifications (~8 per order)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- GHS 0.35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- GHS 0.35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- GHS 0.35</w:t>
            </w:r>
          </w:p>
        </w:tc>
      </w:tr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Hosting &amp; AI (variable share)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- GHS 0.20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- GHS 0.20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- GHS 0.20</w:t>
            </w:r>
          </w:p>
        </w:tc>
      </w:tr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Net per order at 4%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4.67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10.33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16.80</w:t>
            </w:r>
          </w:p>
        </w:tc>
      </w:tr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Net margin (% of order)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1.04%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1.29%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1.40%</w:t>
            </w:r>
          </w:p>
        </w:tc>
      </w:tr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Net at 2% vendor-only (old pitch)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- GHS 4.19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- GHS 5.42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- GHS 6.83</w:t>
            </w:r>
          </w:p>
        </w:tc>
      </w:tr>
    </w:tbl>
    <w:p>
      <w:pPr>
        <w:spacing w:before="0" w:after="120" w:line="276" w:lineRule="auto"/>
      </w:pPr>
      <w:r>
        <w:rPr>
          <w:rFonts w:ascii="Segoe UI" w:hAnsi="Segoe UI"/>
          <w:b/>
          <w:color w:val="0F172A"/>
          <w:sz w:val="20"/>
        </w:rPr>
        <w:t xml:space="preserve">Assumptions: </w:t>
      </w:r>
      <w:r>
        <w:rPr>
          <w:rFonts w:ascii="Segoe UI" w:hAnsi="Segoe UI"/>
          <w:color w:val="334155"/>
          <w:sz w:val="20"/>
        </w:rPr>
        <w:t>Base average order GHS 800 (blend of the lead vertical and lower-ticket categories; measured in the pilot). ID checks at GHS 1.00/order assume buyers rely on telco KYC on their MoMo wallet; if every new buyer needs a paid check, net falls to GHS 3.60. No E-Levy (repealed 2 Apr 2025).</w:t>
      </w:r>
    </w:p>
    <w:p>
      <w:pPr>
        <w:spacing w:before="320" w:after="120"/>
      </w:pPr>
      <w:r>
        <w:rPr>
          <w:rFonts w:ascii="Segoe UI" w:hAnsi="Segoe UI"/>
          <w:b/>
          <w:color w:val="2563EB"/>
          <w:sz w:val="28"/>
        </w:rPr>
        <w:t>4. Fixed Operating Costs by Stage (GHS per month, base)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2563EB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Monthly fixed cost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2563EB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Stage 1 · Legal pilot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2563EB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Stage 2 · Compliant launch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2563EB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Stage 3 · Scale</w:t>
            </w:r>
          </w:p>
        </w:tc>
      </w:tr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People (fully loaded, SSNIT 13% + benefits)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14,500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136,000 (to 12 staff)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290,000 avg (to ~25)</w:t>
            </w:r>
          </w:p>
        </w:tc>
      </w:tr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Infrastructure &amp; software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2,500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20,000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58,000</w:t>
            </w:r>
          </w:p>
        </w:tc>
      </w:tr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Office / coworking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1,500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15,000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35,000</w:t>
            </w:r>
          </w:p>
        </w:tc>
      </w:tr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Vendor acquisition &amp; marketing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4,000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40,000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120,000</w:t>
            </w:r>
          </w:p>
        </w:tc>
      </w:tr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Legal, compliance, insurance, audit, directors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-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21,500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39,000</w:t>
            </w:r>
          </w:p>
        </w:tc>
      </w:tr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Travel, admin, misc.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2,000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6,000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15,000</w:t>
            </w:r>
          </w:p>
        </w:tc>
      </w:tr>
      <w:tr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Total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24,500 (US$2,100)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238,500 (US$20,600)</w:t>
            </w:r>
          </w:p>
        </w:tc>
        <w:tc>
          <w:tcPr>
            <w:tcW w:type="dxa" w:w="2484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557,000 avg (US$48,000)</w:t>
            </w:r>
          </w:p>
        </w:tc>
      </w:tr>
    </w:tbl>
    <w:p>
      <w:pPr>
        <w:spacing w:before="0" w:after="120" w:line="276" w:lineRule="auto"/>
      </w:pPr>
      <w:r>
        <w:rPr>
          <w:rFonts w:ascii="Segoe UI" w:hAnsi="Segoe UI"/>
          <w:b/>
          <w:color w:val="0F172A"/>
          <w:sz w:val="20"/>
        </w:rPr>
        <w:t xml:space="preserve">Why the team is not optional: </w:t>
      </w:r>
      <w:r>
        <w:rPr>
          <w:rFonts w:ascii="Segoe UI" w:hAnsi="Segoe UI"/>
          <w:color w:val="334155"/>
          <w:sz w:val="20"/>
        </w:rPr>
        <w:t>The BoG licensing pack names five key management roles (CEO, Technology &amp; Systems Manager, Compliance &amp; Risk Manager, Finance Manager, AML Reporting Officer) and requires at least three directors. At month 36, with payroll fully ramped, fixed cost is GHS 637,000/month.</w:t>
      </w:r>
    </w:p>
    <w:p>
      <w:pPr>
        <w:spacing w:before="320" w:after="120"/>
      </w:pPr>
      <w:r>
        <w:rPr>
          <w:rFonts w:ascii="Segoe UI" w:hAnsi="Segoe UI"/>
          <w:b/>
          <w:color w:val="2563EB"/>
          <w:sz w:val="28"/>
        </w:rPr>
        <w:t>5. Capital Required by Stage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Months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Net need (base)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Range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Gate to next stage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 · Legal pilot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1-6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US$26k (GHS 305k)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US$11k - 51k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Written aggregator/partner yes; measured buyer drop-off, order value, dispute rate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2 · Compliant launch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7-18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US$360k (GHS 4.18M)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US$178k - 662k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Clean daily reconciliation, disputes &lt; 8%, vendor retention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3 · Scale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19-36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US$916k (GHS 10.63M)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US$442k - 1.80M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Break-even in sight via fee and rails levers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Total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36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US$1.30M (GHS 15.11M)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US$631k - 2.52M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</w:r>
          </w:p>
        </w:tc>
      </w:tr>
    </w:tbl>
    <w:p>
      <w:pPr>
        <w:spacing w:before="0" w:after="120" w:line="276" w:lineRule="auto"/>
      </w:pPr>
      <w:r>
        <w:rPr>
          <w:rFonts w:ascii="Segoe UI" w:hAnsi="Segoe UI"/>
          <w:b/>
          <w:color w:val="0F172A"/>
          <w:sz w:val="20"/>
        </w:rPr>
        <w:t xml:space="preserve">Raise structure: </w:t>
      </w:r>
      <w:r>
        <w:rPr>
          <w:rFonts w:ascii="Segoe UI" w:hAnsi="Segoe UI"/>
          <w:color w:val="334155"/>
          <w:sz w:val="20"/>
        </w:rPr>
        <w:t>Pre-seed = stages 1-2: US$387k base (US$189k-713k). Seed of ~US$916k around month 15, on stage 2 data.</w:t>
      </w:r>
    </w:p>
    <w:p>
      <w:pPr>
        <w:spacing w:before="320" w:after="120"/>
      </w:pPr>
      <w:r>
        <w:rPr>
          <w:rFonts w:ascii="Segoe UI" w:hAnsi="Segoe UI"/>
          <w:b/>
          <w:color w:val="2563EB"/>
          <w:sz w:val="28"/>
        </w:rPr>
        <w:t>6. Itemized Costs (GHS, whole stage)</w:t>
      </w:r>
    </w:p>
    <w:p>
      <w:pPr>
        <w:spacing w:before="240" w:after="80"/>
      </w:pPr>
      <w:r>
        <w:rPr>
          <w:rFonts w:ascii="Segoe UI" w:hAnsi="Segoe UI"/>
          <w:b/>
          <w:color w:val="0F172A"/>
          <w:sz w:val="23"/>
        </w:rPr>
        <w:t>Stage 1 - Legal pilot (6 months)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Basis (base)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Low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Base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High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Company registration, stamp duty, company secretary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one-time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1,100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3,000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5,000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Data Protection Commission registration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one-time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2,000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4,000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Trademark "Croe" (Ghana)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one-time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3,000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6,000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Apple ($99/yr) + Google Play ($25) developer accounts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one-time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1,440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1,440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1,440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Fintech lawyer: custody opinion, ToS, privacy, vendor terms, sandbox/aggregator filings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one-time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35,000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60,000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120,000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Pre-pilot security review (automated scan + light external test)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one-time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12,000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35,000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Test devices (3 Android tiers + 1 iPhone)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one-time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8,000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15,000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25,000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Founder stipends (1-2 founders)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GHS 10,000/mo x 6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30,000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60,000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120,000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Part-time ops: support, L3 disputes, KYC, daily reconciliation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3,000/mo x 6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18,000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30,000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Bookkeeping + company secretary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GHS 1,500/mo x 6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4,800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9,000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15,000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Hosting, SMS base, monitoring, tools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2,500/mo x 6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6,000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15,000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24,000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Vendor onboarding and pilot marketing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GHS 4,000/mo x 6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9,000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24,000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48,000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Coworking / registered address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1,500/mo x 6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3,000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9,000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18,000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Transport, data, phones, misc.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GHS 2,000/mo x 6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6,000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12,000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18,000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Subtotal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105,340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243,440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469,440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Contingency 15%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15,801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36,516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70,416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Working capital (float + reserve)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30,000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60,000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Less: order income (high case at half volume)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-5,268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-5,268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-2,634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Net capital need (GHS)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125,873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304,688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597,222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Net capital need (US$)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$10,851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$26,266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$51,485</w:t>
            </w:r>
          </w:p>
        </w:tc>
      </w:tr>
    </w:tbl>
    <w:p>
      <w:pPr>
        <w:spacing w:before="240" w:after="80"/>
      </w:pPr>
      <w:r>
        <w:rPr>
          <w:rFonts w:ascii="Segoe UI" w:hAnsi="Segoe UI"/>
          <w:b/>
          <w:color w:val="0F172A"/>
          <w:sz w:val="23"/>
        </w:rPr>
        <w:t>Stage 2 - Compliant launch (12 months)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Basis (base)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Low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Base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High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BoG PFTSP licence: processing GHS 10k + licence GHS 20k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one-time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30,000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30,000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30,000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Legal: licence application, partner trust-account agreement, employment, ESOP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one-time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80,000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130,000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250,000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Penetration test: web + API + iOS + Android, with retest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one-time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70,000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140,000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300,000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ISO 27001 (gap assessment only in Low)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one-time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40,000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230,000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520,000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ICT, BCP/DR, AML/CFT and risk policies required by BoG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one-time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20,000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45,000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90,000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Custody partner onboarding and integration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one-time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40,000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100,000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Laptops and equipment for new hires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one-time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60,000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100,000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150,000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Recruitment (compliance lead, senior engineers)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one-time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20,000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60,000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120,000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Payroll, fully loaded, ramping to 12 people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136,000/mo x 12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1,020,000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1,632,000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2,520,000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Infrastructure and software (HA database, GPU box, monitoring, workspace)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GHS 20,000/mo x 12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144,000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240,000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384,000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Office / coworking in Accra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15,000/mo x 12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72,000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180,000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300,000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Vendor acquisition and marketing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GHS 40,000/mo x 12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240,000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480,000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960,000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Legal and compliance retainer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10,000/mo x 12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60,000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120,000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240,000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Insurance: professional indemnity, cyber, fidelity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GHS 5,000/mo x 12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36,000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60,000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120,000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External audit and tax filing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3,500/mo x 12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24,000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42,000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72,000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Directors fees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GHS 3,000/mo x 12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36,000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96,000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Travel, admin, misc.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6,000/mo x 12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36,000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72,000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120,000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Subtotal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1,962,000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3,637,000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6,372,000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Contingency 15%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294,300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545,550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955,800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Working capital (float + reserve)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50,000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233,000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467,000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Less: order income (high case at half volume)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-235,749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-235,749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-117,874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Net capital need (GHS)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2,070,551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4,179,801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7,676,926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Net capital need (US$)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$178,496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$360,328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$661,804</w:t>
            </w:r>
          </w:p>
        </w:tc>
      </w:tr>
    </w:tbl>
    <w:p>
      <w:pPr>
        <w:spacing w:before="240" w:after="80"/>
      </w:pPr>
      <w:r>
        <w:rPr>
          <w:rFonts w:ascii="Segoe UI" w:hAnsi="Segoe UI"/>
          <w:b/>
          <w:color w:val="0F172A"/>
          <w:sz w:val="23"/>
        </w:rPr>
        <w:t>Stage 3 - Scale (18 months)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Basis (base)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Low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Base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High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ISO 27001 surveillance audits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one-time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60,000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100,000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180,000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Annual penetration tests (x2)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one-time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120,000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250,000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500,000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Equipment for new hires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one-time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120,000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170,000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250,000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Recruitment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one-time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50,000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120,000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250,000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Payroll, fully loaded, ramping to about 25 people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290,000/mo x 18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3,600,000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5,220,000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7,560,000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Infrastructure and software (DR region, 2 GPU nodes, log retention, WAF)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GHS 58,000/mo x 18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630,000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1,044,000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1,620,000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Office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35,000/mo x 18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360,000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630,000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1,080,000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Vendor acquisition and marketing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GHS 120,000/mo x 18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1,080,000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2,160,000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4,500,000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Legal and compliance retainer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15,000/mo x 18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180,000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270,000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540,000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Insurance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GHS 10,000/mo x 18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108,000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180,000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360,000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External audit and tax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6,000/mo x 18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72,000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108,000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180,000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Directors fees (incl. independent)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GHS 8,000/mo x 18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54,000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144,000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270,000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Travel, admin, misc.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15,000/mo x 18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144,000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270,000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450,000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Subtotal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6,578,000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10,666,000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17,740,000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Contingency 15%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986,700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1,599,900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2,661,000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Working capital (float + reserve)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300,000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1,100,000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1,900,000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Less: order income (high case at half volume)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-2,738,858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-2,738,858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-1,369,429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Net capital need (GHS)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5,125,842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10,627,042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20,931,571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Net capital need (US$)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$441,883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$916,124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$1,804,446</w:t>
            </w:r>
          </w:p>
        </w:tc>
      </w:tr>
    </w:tbl>
    <w:p>
      <w:pPr>
        <w:spacing w:before="320" w:after="120"/>
      </w:pPr>
      <w:r>
        <w:rPr>
          <w:rFonts w:ascii="Segoe UI" w:hAnsi="Segoe UI"/>
          <w:b/>
          <w:color w:val="2563EB"/>
          <w:sz w:val="28"/>
        </w:rPr>
        <w:t>7. Working Capital &amp; Float</w:t>
      </w:r>
    </w:p>
    <w:p>
      <w:pPr>
        <w:spacing w:before="0" w:after="120" w:line="276" w:lineRule="auto"/>
      </w:pPr>
      <w:r>
        <w:rPr>
          <w:rFonts w:ascii="Segoe UI" w:hAnsi="Segoe UI"/>
          <w:color w:val="334155"/>
          <w:sz w:val="20"/>
        </w:rPr>
        <w:t>Aggregators settle T+1. Escrow holds most orders longer than that, so the float covers same-day deliveries confirmed before settlement. A ring-fenced loss reserve covers wrong adjudications and fraud. Raised and recycled, not burned.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At the end of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Basis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Low (GHS)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Base (GHS)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High (GHS)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Stage 1 · pilot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Loss reserve + small float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30,000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60,000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Stage 2 · ~5,000 orders/mo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One day of order value + partner reserve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50,000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233,000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467,000</w:t>
            </w:r>
          </w:p>
        </w:tc>
      </w:tr>
      <w:tr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Stage 3 · ~30,000 orders/mo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One day of order value + reserve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300,000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1,100,000</w:t>
            </w:r>
          </w:p>
        </w:tc>
        <w:tc>
          <w:tcPr>
            <w:tcW w:type="dxa" w:w="1987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1,900,000</w:t>
            </w:r>
          </w:p>
        </w:tc>
      </w:tr>
    </w:tbl>
    <w:p>
      <w:pPr>
        <w:spacing w:before="320" w:after="120"/>
      </w:pPr>
      <w:r>
        <w:rPr>
          <w:rFonts w:ascii="Segoe UI" w:hAnsi="Segoe UI"/>
          <w:b/>
          <w:color w:val="2563EB"/>
          <w:sz w:val="28"/>
        </w:rPr>
        <w:t>8. Break-Even Sensitivity (orders/month)</w:t>
      </w:r>
    </w:p>
    <w:p>
      <w:pPr>
        <w:spacing w:before="0" w:after="120" w:line="276" w:lineRule="auto"/>
      </w:pPr>
      <w:r>
        <w:rPr>
          <w:rFonts w:ascii="Segoe UI" w:hAnsi="Segoe UI"/>
          <w:color w:val="334155"/>
          <w:sz w:val="20"/>
        </w:rPr>
        <w:t>Released orders per month needed to cover the month-36 fixed cost of GHS 637,000/month. All-in fee = 1.5% buyer + the rest from the vendor.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Average order</w:t>
            </w:r>
          </w:p>
        </w:tc>
        <w:tc>
          <w:tcPr>
            <w:tcW w:type="dxa" w:w="165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3.0% fee</w:t>
            </w:r>
          </w:p>
        </w:tc>
        <w:tc>
          <w:tcPr>
            <w:tcW w:type="dxa" w:w="165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3.5% fee</w:t>
            </w:r>
          </w:p>
        </w:tc>
        <w:tc>
          <w:tcPr>
            <w:tcW w:type="dxa" w:w="165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4.0% fee</w:t>
            </w:r>
          </w:p>
        </w:tc>
        <w:tc>
          <w:tcPr>
            <w:tcW w:type="dxa" w:w="165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4.5% fee</w:t>
            </w:r>
          </w:p>
        </w:tc>
        <w:tc>
          <w:tcPr>
            <w:tcW w:type="dxa" w:w="165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5.0% fee</w:t>
            </w:r>
          </w:p>
        </w:tc>
      </w:tr>
      <w:tr>
        <w:tc>
          <w:tcPr>
            <w:tcW w:type="dxa" w:w="165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450</w:t>
            </w:r>
          </w:p>
        </w:tc>
        <w:tc>
          <w:tcPr>
            <w:tcW w:type="dxa" w:w="165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not viable</w:t>
            </w:r>
          </w:p>
        </w:tc>
        <w:tc>
          <w:tcPr>
            <w:tcW w:type="dxa" w:w="165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not viable</w:t>
            </w:r>
          </w:p>
        </w:tc>
        <w:tc>
          <w:tcPr>
            <w:tcW w:type="dxa" w:w="165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136,300</w:t>
            </w:r>
          </w:p>
        </w:tc>
        <w:tc>
          <w:tcPr>
            <w:tcW w:type="dxa" w:w="165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92,000</w:t>
            </w:r>
          </w:p>
        </w:tc>
        <w:tc>
          <w:tcPr>
            <w:tcW w:type="dxa" w:w="165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69,500</w:t>
            </w:r>
          </w:p>
        </w:tc>
      </w:tr>
      <w:tr>
        <w:tc>
          <w:tcPr>
            <w:tcW w:type="dxa" w:w="165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GHS 800</w:t>
            </w:r>
          </w:p>
        </w:tc>
        <w:tc>
          <w:tcPr>
            <w:tcW w:type="dxa" w:w="165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not viable</w:t>
            </w:r>
          </w:p>
        </w:tc>
        <w:tc>
          <w:tcPr>
            <w:tcW w:type="dxa" w:w="165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100,600</w:t>
            </w:r>
          </w:p>
        </w:tc>
        <w:tc>
          <w:tcPr>
            <w:tcW w:type="dxa" w:w="165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61,700</w:t>
            </w:r>
          </w:p>
        </w:tc>
        <w:tc>
          <w:tcPr>
            <w:tcW w:type="dxa" w:w="165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44,500</w:t>
            </w:r>
          </w:p>
        </w:tc>
        <w:tc>
          <w:tcPr>
            <w:tcW w:type="dxa" w:w="165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34,800</w:t>
            </w:r>
          </w:p>
        </w:tc>
      </w:tr>
      <w:tr>
        <w:tc>
          <w:tcPr>
            <w:tcW w:type="dxa" w:w="165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1,200</w:t>
            </w:r>
          </w:p>
        </w:tc>
        <w:tc>
          <w:tcPr>
            <w:tcW w:type="dxa" w:w="165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132,800</w:t>
            </w:r>
          </w:p>
        </w:tc>
        <w:tc>
          <w:tcPr>
            <w:tcW w:type="dxa" w:w="165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59,000</w:t>
            </w:r>
          </w:p>
        </w:tc>
        <w:tc>
          <w:tcPr>
            <w:tcW w:type="dxa" w:w="165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37,900</w:t>
            </w:r>
          </w:p>
        </w:tc>
        <w:tc>
          <w:tcPr>
            <w:tcW w:type="dxa" w:w="165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27,900</w:t>
            </w:r>
          </w:p>
        </w:tc>
        <w:tc>
          <w:tcPr>
            <w:tcW w:type="dxa" w:w="165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22,100</w:t>
            </w:r>
          </w:p>
        </w:tc>
      </w:tr>
      <w:tr>
        <w:tc>
          <w:tcPr>
            <w:tcW w:type="dxa" w:w="165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GHS 2,000</w:t>
            </w:r>
          </w:p>
        </w:tc>
        <w:tc>
          <w:tcPr>
            <w:tcW w:type="dxa" w:w="165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65,500</w:t>
            </w:r>
          </w:p>
        </w:tc>
        <w:tc>
          <w:tcPr>
            <w:tcW w:type="dxa" w:w="165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32,300</w:t>
            </w:r>
          </w:p>
        </w:tc>
        <w:tc>
          <w:tcPr>
            <w:tcW w:type="dxa" w:w="165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21,400</w:t>
            </w:r>
          </w:p>
        </w:tc>
        <w:tc>
          <w:tcPr>
            <w:tcW w:type="dxa" w:w="165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16,000</w:t>
            </w:r>
          </w:p>
        </w:tc>
        <w:tc>
          <w:tcPr>
            <w:tcW w:type="dxa" w:w="1656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12,800</w:t>
            </w:r>
          </w:p>
        </w:tc>
      </w:tr>
    </w:tbl>
    <w:p>
      <w:pPr>
        <w:spacing w:before="320" w:after="120"/>
      </w:pPr>
      <w:r>
        <w:rPr>
          <w:rFonts w:ascii="Segoe UI" w:hAnsi="Segoe UI"/>
          <w:b/>
          <w:color w:val="2563EB"/>
          <w:sz w:val="28"/>
        </w:rPr>
        <w:t>9. Levers and Risks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2563EB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2563EB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Change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2563EB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Effect (GHS 800 order, month-36 cost base)</w:t>
            </w:r>
          </w:p>
        </w:tc>
      </w:tr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Lever · pricing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5% fee (3.5% vendor + 1.5% buyer)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Net GHS 18.33 -&gt; ~34,800 orders/month</w:t>
            </w:r>
          </w:p>
        </w:tc>
      </w:tr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Lever · own the rails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Direct telco collection at ~1% (needs PSP licence: Medium GHS 0.8M / Enhanced GHS 2M capital)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Net GHS 18.45 -&gt; ~34,500 orders/month</w:t>
            </w:r>
          </w:p>
        </w:tc>
      </w:tr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Lever · ticket size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1,200 average order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Net GHS 16.80 -&gt; ~37,900 orders/month</w:t>
            </w:r>
          </w:p>
        </w:tc>
      </w:tr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Risk · buyer ID checks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Every new buyer needs a paid ID check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Net falls to GHS 3.60 per order</w:t>
            </w:r>
          </w:p>
        </w:tc>
      </w:tr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Risk · partner fee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Custody bank takes 0.25% of volume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Net GHS 8.33 -&gt; ~76,500 orders/month</w:t>
            </w:r>
          </w:p>
        </w:tc>
      </w:tr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Risk · regulatory delay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Licence or sandbox slips 3-6 months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GHS 0.72M - 1.43M extra stage 2 burn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0" w:after="60"/>
            </w:pPr>
            <w:r>
              <w:rPr>
                <w:rFonts w:ascii="Segoe UI" w:hAnsi="Segoe UI"/>
                <w:b/>
                <w:color w:val="2563EB"/>
                <w:sz w:val="19"/>
              </w:rPr>
              <w:t>⚡  THE MONTH-36 GAP, STATED PLAINLY</w:t>
            </w:r>
          </w:p>
          <w:p>
            <w:pPr>
              <w:spacing w:before="40" w:after="0" w:line="276" w:lineRule="auto"/>
            </w:pPr>
            <w:r>
              <w:rPr>
                <w:rFonts w:ascii="Segoe UI" w:hAnsi="Segoe UI"/>
                <w:color w:val="0F172A"/>
                <w:sz w:val="19"/>
              </w:rPr>
              <w:t>At month 36 the plan's contribution is GHS 310k/month against GHS 637k of fixed cost, a gap of ~GHS 327k/month (US$28k). Closing it takes the pricing or rails lever, or another 6-12 months of runway.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Segoe UI" w:hAnsi="Segoe UI"/>
          <w:b/>
          <w:color w:val="2563EB"/>
          <w:sz w:val="28"/>
        </w:rPr>
        <w:t>10. Pilot Success Thresholds (Stage 1 Gate)</w:t>
      </w:r>
    </w:p>
    <w:p>
      <w:pPr>
        <w:spacing w:before="0" w:after="120" w:line="276" w:lineRule="auto"/>
      </w:pPr>
      <w:r>
        <w:rPr>
          <w:rFonts w:ascii="Segoe UI" w:hAnsi="Segoe UI"/>
          <w:color w:val="334155"/>
          <w:sz w:val="20"/>
        </w:rPr>
        <w:t>1. Buyer fee acceptance: checkout drop-off below 30% with the 1.5% fee shown.</w:t>
        <w:br/>
        <w:t>2. At least 250 released orders in month 6.</w:t>
        <w:br/>
        <w:t>3. At least GHS 10.00 net per order at the measured order value.</w:t>
        <w:br/>
        <w:t>4. Dispute rate below 8%.</w:t>
        <w:br/>
        <w:t>5. Over 95% of claims resolved without a successful appeal.</w:t>
        <w:br/>
        <w:t>6. GHS 0.00 variance across daily three-way reconciliation.</w:t>
      </w:r>
    </w:p>
    <w:p>
      <w:pPr>
        <w:spacing w:before="320" w:after="120"/>
      </w:pPr>
      <w:r>
        <w:rPr>
          <w:rFonts w:ascii="Segoe UI" w:hAnsi="Segoe UI"/>
          <w:b/>
          <w:color w:val="2563EB"/>
          <w:sz w:val="28"/>
        </w:rPr>
        <w:t>11. Sources &amp; Confidence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Input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Value used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0F172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FX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US$1 = GHS 11.60 (21-25 Sep 2026)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Published</w:t>
            </w:r>
          </w:p>
        </w:tc>
      </w:tr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MoMo collection / payout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1.95% / GHS 1.00 per transfer (Paystack; Hubtel)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Published</w:t>
            </w:r>
          </w:p>
        </w:tc>
      </w:tr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BoG licence fees &amp; capital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PFTSP: no capital, GHS 10k + 20k; Medium GHS 0.8M; Enhanced GHS 2M; DEMI GHS 20M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Confirm (2020 table)</w:t>
            </w:r>
          </w:p>
        </w:tc>
      </w:tr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Key management roles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CEO, Tech &amp; Systems, Compliance &amp; Risk, Finance, AMLRO; 3+ directors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Published</w:t>
            </w:r>
          </w:p>
        </w:tc>
      </w:tr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Company registration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585 + 1% stamp duty (ORC, Feb 2026)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Published</w:t>
            </w:r>
          </w:p>
        </w:tc>
      </w:tr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Salaries / on-costs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Senior SWE Accra GHS 139k-504k/yr (levels.fyi); SSNIT 13%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Estimate / Published</w:t>
            </w:r>
          </w:p>
        </w:tc>
      </w:tr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GPU / hosting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Hetzner GEX44 EUR 184-234/mo; Render web $25, Postgres from $6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Published</w:t>
            </w:r>
          </w:p>
        </w:tc>
      </w:tr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Pentest / ISO 27001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US$6k-26k / US$15k-45k first year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Published guides</w:t>
            </w:r>
          </w:p>
        </w:tc>
      </w:tr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ID verification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US$0.50-2.00 per onboarding (Smile ID, sales-quoted)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Confirm</w:t>
            </w:r>
          </w:p>
        </w:tc>
      </w:tr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Legal, insurance, office, directors, partner fees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See section 6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Estimate</w:t>
            </w:r>
          </w:p>
        </w:tc>
      </w:tr>
      <w:tr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Order value, refund rate, loss reserve, volume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GHS 800; 5%; 0.3%; 5k/mo at month 18, 30k at month 36</w:t>
            </w:r>
          </w:p>
        </w:tc>
        <w:tc>
          <w:tcPr>
            <w:tcW w:type="dxa" w:w="3312"/>
            <w:vAlign w:val="center"/>
            <w:tcMar>
              <w:top w:w="130" w:type="dxa"/>
              <w:bottom w:w="13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Confirm in pilot</w:t>
            </w:r>
          </w:p>
        </w:tc>
      </w:tr>
    </w:tbl>
    <w:p>
      <w:pPr>
        <w:spacing w:before="0" w:after="80" w:line="276" w:lineRule="auto"/>
      </w:pPr>
      <w:r>
        <w:rPr>
          <w:rFonts w:ascii="Segoe UI" w:hAnsi="Segoe UI"/>
          <w:color w:val="334155"/>
          <w:sz w:val="20"/>
        </w:rPr>
        <w:t>Full source links: pitch/FINANCIAL-MODEL.md section 12. Not legal, tax or investment advice.</w:t>
      </w:r>
    </w:p>
    <w:sectPr w:rsidR="00FC693F" w:rsidRPr="0006063C" w:rsidSect="00034616"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egoe UI" w:hAnsi="Segoe UI"/>
        <w:color w:val="64748B"/>
        <w:sz w:val="17"/>
      </w:rPr>
      <w:t>Financial Model &amp; Unit Economics  |  croe.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