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global-roadmap-to-cure-pediatric-cancer"/>
    <w:p>
      <w:pPr>
        <w:pStyle w:val="Heading1"/>
      </w:pPr>
      <w:r>
        <w:t xml:space="preserve">2025 Global Roadmap to Cure Pediatric Cancer</w:t>
      </w:r>
    </w:p>
    <w:bookmarkStart w:id="20" w:name="purpose-north-star"/>
    <w:p>
      <w:pPr>
        <w:pStyle w:val="Heading2"/>
      </w:pPr>
      <w:r>
        <w:t xml:space="preserve">Purpose &amp; North Star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Lift global, risk-adjusted</w:t>
      </w:r>
      <w:r>
        <w:t xml:space="preserve"> </w:t>
      </w:r>
      <w:r>
        <w:rPr>
          <w:b/>
          <w:bCs/>
        </w:rPr>
        <w:t xml:space="preserve">5‑year overall survival (OS) to ≥95%</w:t>
      </w:r>
      <w:r>
        <w:t xml:space="preserve"> </w:t>
      </w:r>
      <w:r>
        <w:t xml:space="preserve">across major pediatric cancers by</w:t>
      </w:r>
      <w:r>
        <w:t xml:space="preserve"> </w:t>
      </w:r>
      <w:r>
        <w:rPr>
          <w:b/>
          <w:bCs/>
        </w:rPr>
        <w:t xml:space="preserve">2035</w:t>
      </w:r>
      <w:r>
        <w:t xml:space="preserve">, while</w:t>
      </w:r>
      <w:r>
        <w:t xml:space="preserve"> </w:t>
      </w:r>
      <w:r>
        <w:rPr>
          <w:b/>
          <w:bCs/>
        </w:rPr>
        <w:t xml:space="preserve">halving late‑effect morbidity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eradicating survival gaps by geography and income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Guiding principles:</w:t>
      </w:r>
      <w:r>
        <w:t xml:space="preserve"> </w:t>
      </w:r>
      <w:r>
        <w:t xml:space="preserve">evidence over hype; child/family‑centered care; equity by design; open science; safety first; measurable outcomes.</w:t>
      </w:r>
    </w:p>
    <w:p>
      <w:r>
        <w:pict>
          <v:rect style="width:0;height:1.5pt" o:hralign="center" o:hrstd="t" o:hr="t"/>
        </w:pict>
      </w:r>
    </w:p>
    <w:bookmarkEnd w:id="20"/>
    <w:bookmarkStart w:id="21" w:name="executive-summary-1-page"/>
    <w:p>
      <w:pPr>
        <w:pStyle w:val="Heading2"/>
      </w:pPr>
      <w:r>
        <w:t xml:space="preserve">Executive Summary (1 page)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Where we are:</w:t>
      </w:r>
      <w:r>
        <w:t xml:space="preserve"> </w:t>
      </w:r>
      <w:r>
        <w:t xml:space="preserve">Many pediatric cancers already achieve 70–95% cure rates in high‑resource settings; stark disparities persist globally; relapsed solid/brain tumors remain the frontier.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 works:</w:t>
      </w:r>
      <w:r>
        <w:t xml:space="preserve"> </w:t>
      </w:r>
      <w:r>
        <w:t xml:space="preserve">Risk‑adapted chemo/radiation/surgery; precision diagnostics; immunotherapy for select indications; protocolized supportive care; clinical‑trial enrollment.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What’s next:</w:t>
      </w:r>
      <w:r>
        <w:t xml:space="preserve"> </w:t>
      </w:r>
      <w:r>
        <w:t xml:space="preserve">Scale</w:t>
      </w:r>
      <w:r>
        <w:t xml:space="preserve"> </w:t>
      </w:r>
      <w:r>
        <w:rPr>
          <w:b/>
          <w:bCs/>
        </w:rPr>
        <w:t xml:space="preserve">cell therapies</w:t>
      </w:r>
      <w:r>
        <w:t xml:space="preserve">,</w:t>
      </w:r>
      <w:r>
        <w:t xml:space="preserve"> </w:t>
      </w:r>
      <w:r>
        <w:rPr>
          <w:b/>
          <w:bCs/>
        </w:rPr>
        <w:t xml:space="preserve">antibody‑drug conjugates (ADCs)</w:t>
      </w:r>
      <w:r>
        <w:t xml:space="preserve">,</w:t>
      </w:r>
      <w:r>
        <w:t xml:space="preserve"> </w:t>
      </w:r>
      <w:r>
        <w:rPr>
          <w:b/>
          <w:bCs/>
        </w:rPr>
        <w:t xml:space="preserve">bispecifics</w:t>
      </w:r>
      <w:r>
        <w:t xml:space="preserve">,</w:t>
      </w:r>
      <w:r>
        <w:t xml:space="preserve"> </w:t>
      </w:r>
      <w:r>
        <w:rPr>
          <w:b/>
          <w:bCs/>
        </w:rPr>
        <w:t xml:space="preserve">oncolytic viruses</w:t>
      </w:r>
      <w:r>
        <w:t xml:space="preserve">, and</w:t>
      </w:r>
      <w:r>
        <w:t xml:space="preserve"> </w:t>
      </w:r>
      <w:r>
        <w:rPr>
          <w:b/>
          <w:bCs/>
        </w:rPr>
        <w:t xml:space="preserve">personalized vaccines</w:t>
      </w:r>
      <w:r>
        <w:t xml:space="preserve">; universal molecular profiling; AI‑assisted trial matching; global manufacturing and access; survivorship‑first design.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KPIs:</w:t>
      </w:r>
      <w:r>
        <w:t xml:space="preserve"> </w:t>
      </w:r>
      <w:r>
        <w:t xml:space="preserve">Survival, toxicity‑adjusted life years (TALYs), trial access time, profiling coverage, therapy manufacturing time, cost per cure, equity gap index, quality‑of‑life (QoL) indices.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Near‑term (0–3y) foundation; Mid‑term (3–7y) scale; Long‑term (7–15y) consolidation and eradication of gaps.</w:t>
      </w:r>
    </w:p>
    <w:p>
      <w:r>
        <w:pict>
          <v:rect style="width:0;height:1.5pt" o:hralign="center" o:hrstd="t" o:hr="t"/>
        </w:pict>
      </w:r>
    </w:p>
    <w:bookmarkEnd w:id="21"/>
    <w:bookmarkStart w:id="22" w:name="Xa61c7b924a5fc11603450e64cb69bf7b8fa18d3"/>
    <w:p>
      <w:pPr>
        <w:pStyle w:val="Heading2"/>
      </w:pPr>
      <w:r>
        <w:t xml:space="preserve">Pillar 1 — Universal Early &amp; Accurate Diagnosis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100% of newly diagnosed pediatric cancers receive</w:t>
      </w:r>
      <w:r>
        <w:t xml:space="preserve"> </w:t>
      </w:r>
      <w:r>
        <w:rPr>
          <w:b/>
          <w:bCs/>
        </w:rPr>
        <w:t xml:space="preserve">comprehensive molecular profiling</w:t>
      </w:r>
      <w:r>
        <w:t xml:space="preserve"> </w:t>
      </w:r>
      <w:r>
        <w:t xml:space="preserve">within</w:t>
      </w:r>
      <w:r>
        <w:t xml:space="preserve"> </w:t>
      </w:r>
      <w:r>
        <w:rPr>
          <w:b/>
          <w:bCs/>
        </w:rPr>
        <w:t xml:space="preserve">14 days</w:t>
      </w:r>
      <w:r>
        <w:t xml:space="preserve"> </w:t>
      </w:r>
      <w:r>
        <w:t xml:space="preserve">of diagnosis and are staged/stratified on standards (COG/SIOP harmonized).</w:t>
      </w:r>
    </w:p>
    <w:p>
      <w:pPr>
        <w:pStyle w:val="BodyText"/>
      </w:pPr>
      <w:r>
        <w:rPr>
          <w:b/>
          <w:bCs/>
        </w:rPr>
        <w:t xml:space="preserve">Actions:</w:t>
      </w:r>
      <w:r>
        <w:t xml:space="preserve"> </w:t>
      </w:r>
      <w:r>
        <w:t xml:space="preserve">- Implement a</w:t>
      </w:r>
      <w:r>
        <w:t xml:space="preserve"> </w:t>
      </w:r>
      <w:r>
        <w:rPr>
          <w:b/>
          <w:bCs/>
        </w:rPr>
        <w:t xml:space="preserve">Global Pediatric Oncology Starter Panel</w:t>
      </w:r>
      <w:r>
        <w:t xml:space="preserve"> </w:t>
      </w:r>
      <w:r>
        <w:t xml:space="preserve">(DNA/RNA + methylation for CNS) with reflex to whole‑genome/exome for high‑risk/relapse.</w:t>
      </w:r>
      <w:r>
        <w:t xml:space="preserve"> </w:t>
      </w:r>
      <w:r>
        <w:t xml:space="preserve">- Deploy</w:t>
      </w:r>
      <w:r>
        <w:t xml:space="preserve"> </w:t>
      </w:r>
      <w:r>
        <w:rPr>
          <w:b/>
          <w:bCs/>
        </w:rPr>
        <w:t xml:space="preserve">liquid biopsy</w:t>
      </w:r>
      <w:r>
        <w:t xml:space="preserve"> </w:t>
      </w:r>
      <w:r>
        <w:t xml:space="preserve">for minimal residual disease (MRD) where validated.</w:t>
      </w:r>
      <w:r>
        <w:t xml:space="preserve"> </w:t>
      </w:r>
      <w:r>
        <w:t xml:space="preserve">- Establish</w:t>
      </w:r>
      <w:r>
        <w:t xml:space="preserve"> </w:t>
      </w:r>
      <w:r>
        <w:rPr>
          <w:b/>
          <w:bCs/>
        </w:rPr>
        <w:t xml:space="preserve">telepathology &amp; methylation‑classifier hubs</w:t>
      </w:r>
      <w:r>
        <w:t xml:space="preserve"> </w:t>
      </w:r>
      <w:r>
        <w:t xml:space="preserve">for CNS tumors.</w:t>
      </w:r>
    </w:p>
    <w:p>
      <w:pPr>
        <w:pStyle w:val="BodyText"/>
      </w:pPr>
      <w:r>
        <w:rPr>
          <w:b/>
          <w:bCs/>
        </w:rPr>
        <w:t xml:space="preserve">Metrics:</w:t>
      </w:r>
      <w:r>
        <w:t xml:space="preserve"> </w:t>
      </w:r>
      <w:r>
        <w:t xml:space="preserve">profiling coverage %, turnaround time (TAT), % cases with stratification‑driven treatment change, MRD adoption rate.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biobanking standards; consent templates; data pipelines.</w:t>
      </w:r>
    </w:p>
    <w:p>
      <w:r>
        <w:pict>
          <v:rect style="width:0;height:1.5pt" o:hralign="center" o:hrstd="t" o:hr="t"/>
        </w:pict>
      </w:r>
    </w:p>
    <w:bookmarkEnd w:id="22"/>
    <w:bookmarkStart w:id="23" w:name="Xd30dde1ffb6dd6418fbc13f08325af2374b071e"/>
    <w:p>
      <w:pPr>
        <w:pStyle w:val="Heading2"/>
      </w:pPr>
      <w:r>
        <w:t xml:space="preserve">Pillar 2 — Curative Therapy Platform Expansion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Make next‑gen modalities safe, affordable, and available across continents.</w:t>
      </w:r>
    </w:p>
    <w:p>
      <w:pPr>
        <w:pStyle w:val="BodyText"/>
      </w:pPr>
      <w:r>
        <w:rPr>
          <w:b/>
          <w:bCs/>
        </w:rPr>
        <w:t xml:space="preserve">Modalities &amp; Priorities: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Cell Therapies (CAR‑T/TCR):</w:t>
      </w:r>
      <w:r>
        <w:t xml:space="preserve"> </w:t>
      </w:r>
      <w:r>
        <w:t xml:space="preserve">Expand pediatric targets beyond CD19/GD2 (e.g., B7‑H3, HER2, ALK, EGFRvIII). Create</w:t>
      </w:r>
      <w:r>
        <w:t xml:space="preserve"> </w:t>
      </w:r>
      <w:r>
        <w:rPr>
          <w:b/>
          <w:bCs/>
        </w:rPr>
        <w:t xml:space="preserve">regional GMP nodes</w:t>
      </w:r>
      <w:r>
        <w:t xml:space="preserve"> </w:t>
      </w:r>
      <w:r>
        <w:t xml:space="preserve">with shared QC; move to</w:t>
      </w:r>
      <w:r>
        <w:t xml:space="preserve"> </w:t>
      </w:r>
      <w:r>
        <w:rPr>
          <w:b/>
          <w:bCs/>
        </w:rPr>
        <w:t xml:space="preserve">off‑the‑shelf (allogeneic)</w:t>
      </w:r>
      <w:r>
        <w:t xml:space="preserve"> </w:t>
      </w:r>
      <w:r>
        <w:t xml:space="preserve">lines where safe.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Antibody &amp; ADCs:</w:t>
      </w:r>
      <w:r>
        <w:t xml:space="preserve"> </w:t>
      </w:r>
      <w:r>
        <w:t xml:space="preserve">Scale anti‑GD2 backbones; pediatric‑first ADC development; optimize dosing to minimize neuropathy/ototoxicity.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Bispecifics/Tri‑specifics:</w:t>
      </w:r>
      <w:r>
        <w:t xml:space="preserve"> </w:t>
      </w:r>
      <w:r>
        <w:t xml:space="preserve">Bridge to transplant or definitive control in relapse; outpatient‑capable step‑up dosing.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Oncolytic Viruses &amp; Vaccines:</w:t>
      </w:r>
      <w:r>
        <w:t xml:space="preserve"> </w:t>
      </w:r>
      <w:r>
        <w:t xml:space="preserve">Personalized neoantigen/mRNA programs for high‑risk solid/CNS tumors; intratumoral viral platforms with convection‑enhanced delivery in brain tumors.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Radiation Evolution:</w:t>
      </w:r>
      <w:r>
        <w:t xml:space="preserve"> </w:t>
      </w:r>
      <w:r>
        <w:rPr>
          <w:b/>
          <w:bCs/>
        </w:rPr>
        <w:t xml:space="preserve">Proton access</w:t>
      </w:r>
      <w:r>
        <w:t xml:space="preserve"> </w:t>
      </w:r>
      <w:r>
        <w:t xml:space="preserve">expansion; MR‑linac; microbeam/FLASH pilots under strict protocols; minimize late effects.</w:t>
      </w:r>
    </w:p>
    <w:p>
      <w:pPr>
        <w:pStyle w:val="BodyText"/>
      </w:pPr>
      <w:r>
        <w:rPr>
          <w:b/>
          <w:bCs/>
        </w:rPr>
        <w:t xml:space="preserve">Metrics:</w:t>
      </w:r>
      <w:r>
        <w:t xml:space="preserve"> </w:t>
      </w:r>
      <w:r>
        <w:t xml:space="preserve">time from eligibility → infusion, manufacturing success rate, therapy cost per patient, grade ≥3 toxicity rates, 2‑year event‑free survival (EFS) uplift vs. prior standard.</w:t>
      </w:r>
    </w:p>
    <w:p>
      <w:r>
        <w:pict>
          <v:rect style="width:0;height:1.5pt" o:hralign="center" o:hrstd="t" o:hr="t"/>
        </w:pict>
      </w:r>
    </w:p>
    <w:bookmarkEnd w:id="23"/>
    <w:bookmarkStart w:id="24" w:name="X0d56a6c8ec4b7c231ebe5da6e47ac6a237e31da"/>
    <w:p>
      <w:pPr>
        <w:pStyle w:val="Heading2"/>
      </w:pPr>
      <w:r>
        <w:t xml:space="preserve">Pillar 3 — Trial Access &amp; Regulatory Acceleration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rPr>
          <w:b/>
          <w:bCs/>
        </w:rPr>
        <w:t xml:space="preserve">Trial within reach for every child</w:t>
      </w:r>
      <w:r>
        <w:t xml:space="preserve"> </w:t>
      </w:r>
      <w:r>
        <w:t xml:space="preserve">within</w:t>
      </w:r>
      <w:r>
        <w:t xml:space="preserve"> </w:t>
      </w:r>
      <w:r>
        <w:rPr>
          <w:b/>
          <w:bCs/>
        </w:rPr>
        <w:t xml:space="preserve">21 days</w:t>
      </w:r>
      <w:r>
        <w:t xml:space="preserve"> </w:t>
      </w:r>
      <w:r>
        <w:t xml:space="preserve">of diagnosis/relapse.</w:t>
      </w:r>
    </w:p>
    <w:p>
      <w:pPr>
        <w:pStyle w:val="BodyText"/>
      </w:pPr>
      <w:r>
        <w:rPr>
          <w:b/>
          <w:bCs/>
        </w:rPr>
        <w:t xml:space="preserve">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Harmonize inclusion criteria</w:t>
      </w:r>
      <w:r>
        <w:t xml:space="preserve"> </w:t>
      </w:r>
      <w:r>
        <w:t xml:space="preserve">across sponsors (COG/SIOP/ITCC/industry).</w:t>
      </w:r>
      <w:r>
        <w:t xml:space="preserve"> </w:t>
      </w:r>
      <w:r>
        <w:t xml:space="preserve">- Build an</w:t>
      </w:r>
      <w:r>
        <w:t xml:space="preserve"> </w:t>
      </w:r>
      <w:r>
        <w:rPr>
          <w:b/>
          <w:bCs/>
        </w:rPr>
        <w:t xml:space="preserve">AI‑assisted trial‑matching commons</w:t>
      </w:r>
      <w:r>
        <w:t xml:space="preserve"> </w:t>
      </w:r>
      <w:r>
        <w:t xml:space="preserve">(structured eligibility, live slots, eConsent, family‑facing language).</w:t>
      </w:r>
      <w:r>
        <w:t xml:space="preserve"> </w:t>
      </w:r>
      <w:r>
        <w:t xml:space="preserve">- Create</w:t>
      </w:r>
      <w:r>
        <w:t xml:space="preserve"> </w:t>
      </w:r>
      <w:r>
        <w:rPr>
          <w:b/>
          <w:bCs/>
        </w:rPr>
        <w:t xml:space="preserve">Reciprocity IRB</w:t>
      </w:r>
      <w:r>
        <w:t xml:space="preserve"> </w:t>
      </w:r>
      <w:r>
        <w:t xml:space="preserve">networks; rolling review for pediatric variants of adult approvals; pediatric‑first cohorts for targets prevalent in children.</w:t>
      </w:r>
    </w:p>
    <w:p>
      <w:pPr>
        <w:pStyle w:val="BodyText"/>
      </w:pPr>
      <w:r>
        <w:rPr>
          <w:b/>
          <w:bCs/>
        </w:rPr>
        <w:t xml:space="preserve">Metrics:</w:t>
      </w:r>
      <w:r>
        <w:t xml:space="preserve"> </w:t>
      </w:r>
      <w:r>
        <w:t xml:space="preserve">median time to trial offer, % enrolled, screen‑fail reduction, geography‑normalized access rate.</w:t>
      </w:r>
    </w:p>
    <w:p>
      <w:r>
        <w:pict>
          <v:rect style="width:0;height:1.5pt" o:hralign="center" o:hrstd="t" o:hr="t"/>
        </w:pict>
      </w:r>
    </w:p>
    <w:bookmarkEnd w:id="24"/>
    <w:bookmarkStart w:id="25" w:name="Xb086a3ccff448865c51b34651ab45b9523c986a"/>
    <w:p>
      <w:pPr>
        <w:pStyle w:val="Heading2"/>
      </w:pPr>
      <w:r>
        <w:t xml:space="preserve">Pillar 4 — Supportive Care &amp; Survivorship as Part of Cure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Double down on</w:t>
      </w:r>
      <w:r>
        <w:t xml:space="preserve"> </w:t>
      </w:r>
      <w:r>
        <w:rPr>
          <w:b/>
          <w:bCs/>
        </w:rPr>
        <w:t xml:space="preserve">TALYs</w:t>
      </w:r>
      <w:r>
        <w:t xml:space="preserve"> </w:t>
      </w:r>
      <w:r>
        <w:t xml:space="preserve">(toxicity‑adjusted life years) and life‑course health.</w:t>
      </w:r>
    </w:p>
    <w:p>
      <w:pPr>
        <w:pStyle w:val="BodyText"/>
      </w:pPr>
      <w:r>
        <w:rPr>
          <w:b/>
          <w:bCs/>
        </w:rPr>
        <w:t xml:space="preserve">Actions:</w:t>
      </w:r>
      <w:r>
        <w:t xml:space="preserve"> </w:t>
      </w:r>
      <w:r>
        <w:t xml:space="preserve">- Universal</w:t>
      </w:r>
      <w:r>
        <w:t xml:space="preserve"> </w:t>
      </w:r>
      <w:r>
        <w:rPr>
          <w:b/>
          <w:bCs/>
        </w:rPr>
        <w:t xml:space="preserve">palliative care from day 1</w:t>
      </w:r>
      <w:r>
        <w:t xml:space="preserve">; standardized antiemesis, pain, infection prophylaxis, and</w:t>
      </w:r>
      <w:r>
        <w:t xml:space="preserve"> </w:t>
      </w:r>
      <w:r>
        <w:rPr>
          <w:b/>
          <w:bCs/>
        </w:rPr>
        <w:t xml:space="preserve">nutrition/rehab</w:t>
      </w:r>
      <w:r>
        <w:t xml:space="preserve"> </w:t>
      </w:r>
      <w:r>
        <w:t xml:space="preserve">protocols.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Fertility preservation</w:t>
      </w:r>
      <w:r>
        <w:t xml:space="preserve"> </w:t>
      </w:r>
      <w:r>
        <w:t xml:space="preserve">coverage; neurocognitive and cardiometabolic monitoring bundles.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Digital home monitoring</w:t>
      </w:r>
      <w:r>
        <w:t xml:space="preserve">: symptom scores, step count, sleep, and caregiver burden—triage alerts integrated to care teams.</w:t>
      </w:r>
    </w:p>
    <w:p>
      <w:pPr>
        <w:pStyle w:val="BodyText"/>
      </w:pPr>
      <w:r>
        <w:rPr>
          <w:b/>
          <w:bCs/>
        </w:rPr>
        <w:t xml:space="preserve">Metrics:</w:t>
      </w:r>
      <w:r>
        <w:t xml:space="preserve"> </w:t>
      </w:r>
      <w:r>
        <w:t xml:space="preserve">unplanned admissions, febrile neutropenia incidence, dose‑intensity delivered, PROMIS/PedsQL improvements, fertility preservation uptake.</w:t>
      </w:r>
    </w:p>
    <w:p>
      <w:r>
        <w:pict>
          <v:rect style="width:0;height:1.5pt" o:hralign="center" o:hrstd="t" o:hr="t"/>
        </w:pict>
      </w:r>
    </w:p>
    <w:bookmarkEnd w:id="25"/>
    <w:bookmarkStart w:id="26" w:name="X9ec994546ee5dc18c1da286c8f19641579e7308"/>
    <w:p>
      <w:pPr>
        <w:pStyle w:val="Heading2"/>
      </w:pPr>
      <w:r>
        <w:t xml:space="preserve">Pillar 5 — Data, AI, and Open Science Infrastructure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A federated, privacy‑preserving</w:t>
      </w:r>
      <w:r>
        <w:t xml:space="preserve"> </w:t>
      </w:r>
      <w:r>
        <w:rPr>
          <w:b/>
          <w:bCs/>
        </w:rPr>
        <w:t xml:space="preserve">Pediatric Oncology Data Mesh</w:t>
      </w:r>
      <w:r>
        <w:t xml:space="preserve"> </w:t>
      </w:r>
      <w:r>
        <w:t xml:space="preserve">linking genomes, treatments, imaging, toxicity, QoL, and outcomes.</w:t>
      </w:r>
    </w:p>
    <w:p>
      <w:pPr>
        <w:pStyle w:val="BodyText"/>
      </w:pPr>
      <w:r>
        <w:rPr>
          <w:b/>
          <w:bCs/>
        </w:rPr>
        <w:t xml:space="preserve">Actions:</w:t>
      </w:r>
      <w:r>
        <w:t xml:space="preserve"> </w:t>
      </w:r>
      <w:r>
        <w:t xml:space="preserve">- Adopt a</w:t>
      </w:r>
      <w:r>
        <w:t xml:space="preserve"> </w:t>
      </w:r>
      <w:r>
        <w:rPr>
          <w:b/>
          <w:bCs/>
        </w:rPr>
        <w:t xml:space="preserve">common data model</w:t>
      </w:r>
      <w:r>
        <w:t xml:space="preserve"> </w:t>
      </w:r>
      <w:r>
        <w:t xml:space="preserve">(OMOP‑PedsOnc) with FHIR APIs.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Federated learning</w:t>
      </w:r>
      <w:r>
        <w:t xml:space="preserve"> </w:t>
      </w:r>
      <w:r>
        <w:t xml:space="preserve">for outcome prediction; causal inference pipelines for regimen optimization.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protocols</w:t>
      </w:r>
      <w:r>
        <w:t xml:space="preserve"> </w:t>
      </w:r>
      <w:r>
        <w:t xml:space="preserve">and preprints; dataset DOIs; patient‑governed data donation and revocation.</w:t>
      </w:r>
    </w:p>
    <w:p>
      <w:pPr>
        <w:pStyle w:val="BodyText"/>
      </w:pPr>
      <w:r>
        <w:rPr>
          <w:b/>
          <w:bCs/>
        </w:rPr>
        <w:t xml:space="preserve">Metrics:</w:t>
      </w:r>
      <w:r>
        <w:t xml:space="preserve"> </w:t>
      </w:r>
      <w:r>
        <w:t xml:space="preserve">% centers live on mesh, model accuracy (AUROC/calibration), time to external replication, number of open datasets.</w:t>
      </w:r>
    </w:p>
    <w:p>
      <w:r>
        <w:pict>
          <v:rect style="width:0;height:1.5pt" o:hralign="center" o:hrstd="t" o:hr="t"/>
        </w:pict>
      </w:r>
    </w:p>
    <w:bookmarkEnd w:id="26"/>
    <w:bookmarkStart w:id="27" w:name="pillar-6-global-equity-capacity-building"/>
    <w:p>
      <w:pPr>
        <w:pStyle w:val="Heading2"/>
      </w:pPr>
      <w:r>
        <w:t xml:space="preserve">Pillar 6 — Global Equity &amp; Capacity Building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Eradicate survival gaps between high‑ and low‑resource settings.</w:t>
      </w:r>
    </w:p>
    <w:p>
      <w:pPr>
        <w:pStyle w:val="BodyText"/>
      </w:pPr>
      <w:r>
        <w:rPr>
          <w:b/>
          <w:bCs/>
        </w:rPr>
        <w:t xml:space="preserve">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Tiered essential‑care packages</w:t>
      </w:r>
      <w:r>
        <w:t xml:space="preserve"> </w:t>
      </w:r>
      <w:r>
        <w:t xml:space="preserve">(diagnostics, meds, surgery, radiation, supportive care) with costed implementation guides.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Twinned center networks</w:t>
      </w:r>
      <w:r>
        <w:t xml:space="preserve"> </w:t>
      </w:r>
      <w:r>
        <w:t xml:space="preserve">(north–south &amp; south–south) with funded staff exchanges and tele‑mentoring.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Price equity compacts</w:t>
      </w:r>
      <w:r>
        <w:t xml:space="preserve"> </w:t>
      </w:r>
      <w:r>
        <w:t xml:space="preserve">with manufacturers for pediatric indications.</w:t>
      </w:r>
    </w:p>
    <w:p>
      <w:pPr>
        <w:pStyle w:val="BodyText"/>
      </w:pPr>
      <w:r>
        <w:rPr>
          <w:b/>
          <w:bCs/>
        </w:rPr>
        <w:t xml:space="preserve">Metrics:</w:t>
      </w:r>
      <w:r>
        <w:t xml:space="preserve"> </w:t>
      </w:r>
      <w:r>
        <w:t xml:space="preserve">5‑year OS by region/risk, stock‑out days per year, treatment abandonment rate, catastrophic health expenditure rate.</w:t>
      </w:r>
    </w:p>
    <w:p>
      <w:r>
        <w:pict>
          <v:rect style="width:0;height:1.5pt" o:hralign="center" o:hrstd="t" o:hr="t"/>
        </w:pict>
      </w:r>
    </w:p>
    <w:bookmarkEnd w:id="27"/>
    <w:bookmarkStart w:id="28" w:name="diseasespecific-targets-illustrative"/>
    <w:p>
      <w:pPr>
        <w:pStyle w:val="Heading2"/>
      </w:pPr>
      <w:r>
        <w:t xml:space="preserve">Disease‑Specific Targets (illustrative)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ALL:</w:t>
      </w:r>
      <w:r>
        <w:t xml:space="preserve"> </w:t>
      </w:r>
      <w:r>
        <w:t xml:space="preserve">Maintain ≥90% 5y OS; reduce CNS radiation use by 80%; integrate MRD‑adapted therapy; reserve CAR‑T for MRD‑positive/relapse with ≤10‑day vein‑to‑vein.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AML:</w:t>
      </w:r>
      <w:r>
        <w:t xml:space="preserve"> </w:t>
      </w:r>
      <w:r>
        <w:t xml:space="preserve">Lift 5y OS to ≥75% via FLT3/IDH inhibitors, venetoclax‑backbones, and transplant optimization; pilot myeloid‑targeted CAR‑T with suicide switches.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Neuroblastoma (high‑risk):</w:t>
      </w:r>
      <w:r>
        <w:t xml:space="preserve"> </w:t>
      </w:r>
      <w:r>
        <w:t xml:space="preserve">Raise 5y EFS to ≥70% with intensified anti‑GD2 + cytokine modulation, MRD‑guided maintenance, vaccine add‑ons.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Osteosarcoma/Ewing:</w:t>
      </w:r>
      <w:r>
        <w:t xml:space="preserve"> </w:t>
      </w:r>
      <w:r>
        <w:t xml:space="preserve">Achieve ≥10% absolute OS gain using ADCs, radiopharmaceuticals, and immune‑modulating combinations; expand limb‑sparing surgery.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Medulloblastoma:</w:t>
      </w:r>
      <w:r>
        <w:t xml:space="preserve"> </w:t>
      </w:r>
      <w:r>
        <w:t xml:space="preserve">Subgroup‑specific de‑escalation for low‑risk; proton therapy access; targeted agents for Group 3/4.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DIPG/HGG:</w:t>
      </w:r>
      <w:r>
        <w:t xml:space="preserve"> </w:t>
      </w:r>
      <w:r>
        <w:t xml:space="preserve">Triple 2y OS via convection‑enhanced delivery, oncolytic viruses, peptide vaccines, and focused ultrasound BBB‑opening—under rigorous safety monitoring.</w:t>
      </w:r>
    </w:p>
    <w:p>
      <w:r>
        <w:pict>
          <v:rect style="width:0;height:1.5pt" o:hralign="center" o:hrstd="t" o:hr="t"/>
        </w:pict>
      </w:r>
    </w:p>
    <w:bookmarkEnd w:id="28"/>
    <w:bookmarkStart w:id="29" w:name="manufacturing-supply-chain-blueprint"/>
    <w:p>
      <w:pPr>
        <w:pStyle w:val="Heading2"/>
      </w:pPr>
      <w:r>
        <w:t xml:space="preserve">Manufacturing &amp; Supply Chain Blueprint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Regional GMP hubs</w:t>
      </w:r>
      <w:r>
        <w:t xml:space="preserve"> </w:t>
      </w:r>
      <w:r>
        <w:t xml:space="preserve">(Americas, Europe, Africa, South Asia, East Asia, Oceania) with shared QC and tech‑transfer playbooks.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Cold‑chain and just‑in‑time logistics</w:t>
      </w:r>
      <w:r>
        <w:t xml:space="preserve"> </w:t>
      </w:r>
      <w:r>
        <w:t xml:space="preserve">dashboards; barcoded chain‑of‑identity for cell products.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Pediatric essential medicines list</w:t>
      </w:r>
      <w:r>
        <w:t xml:space="preserve"> </w:t>
      </w:r>
      <w:r>
        <w:t xml:space="preserve">modernization; buffer stocks; generics/biosimilars adoption.</w:t>
      </w:r>
    </w:p>
    <w:p>
      <w:pPr>
        <w:pStyle w:val="FirstParagraph"/>
      </w:pPr>
      <w:r>
        <w:rPr>
          <w:b/>
          <w:bCs/>
        </w:rPr>
        <w:t xml:space="preserve">KPIs:</w:t>
      </w:r>
      <w:r>
        <w:t xml:space="preserve"> </w:t>
      </w:r>
      <w:r>
        <w:t xml:space="preserve">batch release time, failure rates, cost per dose, days of stock‑out, delivery time variance.</w:t>
      </w:r>
    </w:p>
    <w:p>
      <w:r>
        <w:pict>
          <v:rect style="width:0;height:1.5pt" o:hralign="center" o:hrstd="t" o:hr="t"/>
        </w:pict>
      </w:r>
    </w:p>
    <w:bookmarkEnd w:id="29"/>
    <w:bookmarkStart w:id="30" w:name="funding-model-economics-high-level"/>
    <w:p>
      <w:pPr>
        <w:pStyle w:val="Heading2"/>
      </w:pPr>
      <w:r>
        <w:t xml:space="preserve">Funding Model &amp; Economics (high level)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Blended finance:</w:t>
      </w:r>
      <w:r>
        <w:t xml:space="preserve"> </w:t>
      </w:r>
      <w:r>
        <w:t xml:space="preserve">philanthropic anchors + outcome‑based bonds + government co‑funding.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Advance market commitments</w:t>
      </w:r>
      <w:r>
        <w:t xml:space="preserve"> </w:t>
      </w:r>
      <w:r>
        <w:t xml:space="preserve">for pediatric indications (cell therapy, ADCs).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Value metrics:</w:t>
      </w:r>
      <w:r>
        <w:t xml:space="preserve"> </w:t>
      </w:r>
      <w:r>
        <w:t xml:space="preserve">cost per cure and TALYs gained; reinvest a fixed % of savings from reduced late effects.</w:t>
      </w:r>
    </w:p>
    <w:p>
      <w:r>
        <w:pict>
          <v:rect style="width:0;height:1.5pt" o:hralign="center" o:hrstd="t" o:hr="t"/>
        </w:pict>
      </w:r>
    </w:p>
    <w:bookmarkEnd w:id="30"/>
    <w:bookmarkStart w:id="31" w:name="governance-ethics-and-safety"/>
    <w:p>
      <w:pPr>
        <w:pStyle w:val="Heading2"/>
      </w:pPr>
      <w:r>
        <w:t xml:space="preserve">Governance, Ethics, and Safety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Child and caregiver representation</w:t>
      </w:r>
      <w:r>
        <w:t xml:space="preserve"> </w:t>
      </w:r>
      <w:r>
        <w:t xml:space="preserve">in governance.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Ethics by design:</w:t>
      </w:r>
      <w:r>
        <w:t xml:space="preserve"> </w:t>
      </w:r>
      <w:r>
        <w:t xml:space="preserve">assent/consent clarity, return‑of‑results policy, genomic privacy, algorithmic bias audits.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Safety:</w:t>
      </w:r>
      <w:r>
        <w:t xml:space="preserve"> </w:t>
      </w:r>
      <w:r>
        <w:t xml:space="preserve">independent data monitoring; pharmacovigilance; rapid signal detection and public reporting.</w:t>
      </w:r>
    </w:p>
    <w:p>
      <w:r>
        <w:pict>
          <v:rect style="width:0;height:1.5pt" o:hralign="center" o:hrstd="t" o:hr="t"/>
        </w:pict>
      </w:r>
    </w:p>
    <w:bookmarkEnd w:id="31"/>
    <w:bookmarkStart w:id="32" w:name="timeline-milestones"/>
    <w:p>
      <w:pPr>
        <w:pStyle w:val="Heading2"/>
      </w:pPr>
      <w:r>
        <w:t xml:space="preserve">Timeline &amp; Milestones</w:t>
      </w:r>
    </w:p>
    <w:p>
      <w:pPr>
        <w:pStyle w:val="FirstParagraph"/>
      </w:pPr>
      <w:r>
        <w:rPr>
          <w:b/>
          <w:bCs/>
        </w:rPr>
        <w:t xml:space="preserve">Near‑Term (0–3 years):</w:t>
      </w:r>
      <w:r>
        <w:t xml:space="preserve"> </w:t>
      </w:r>
      <w:r>
        <w:t xml:space="preserve">- ≥80% profiling coverage; ≤21‑day trial‑offer median; 2 regional GMP hubs live; proton access expansion plans approved; Peds Data Mesh v1 live in 10 centers.</w:t>
      </w:r>
    </w:p>
    <w:p>
      <w:pPr>
        <w:pStyle w:val="BodyText"/>
      </w:pPr>
      <w:r>
        <w:rPr>
          <w:b/>
          <w:bCs/>
        </w:rPr>
        <w:t xml:space="preserve">Mid‑Term (3–7 years):</w:t>
      </w:r>
      <w:r>
        <w:t xml:space="preserve"> </w:t>
      </w:r>
      <w:r>
        <w:t xml:space="preserve">- ≥95% profiling; 6 GMP hubs; majority of relapsed ALL/lymphoma rescued with cell/bispecifics; DIPG/HGG platform trials running on 5 continents; trial‑matching commons globally deployed.</w:t>
      </w:r>
    </w:p>
    <w:p>
      <w:pPr>
        <w:pStyle w:val="BodyText"/>
      </w:pPr>
      <w:r>
        <w:rPr>
          <w:b/>
          <w:bCs/>
        </w:rPr>
        <w:t xml:space="preserve">Long‑Term (7–15 years):</w:t>
      </w:r>
      <w:r>
        <w:t xml:space="preserve"> </w:t>
      </w:r>
      <w:r>
        <w:t xml:space="preserve">- Global 5y OS ≥95% in aggregate; equity gap index ≤5%; sustained reduction of late effects by ≥50%; universal survivorship programs.</w:t>
      </w:r>
    </w:p>
    <w:p>
      <w:r>
        <w:pict>
          <v:rect style="width:0;height:1.5pt" o:hralign="center" o:hrstd="t" o:hr="t"/>
        </w:pict>
      </w:r>
    </w:p>
    <w:bookmarkEnd w:id="32"/>
    <w:bookmarkStart w:id="33" w:name="risks-mitigations"/>
    <w:p>
      <w:pPr>
        <w:pStyle w:val="Heading2"/>
      </w:pPr>
      <w:r>
        <w:t xml:space="preserve">Risks &amp; Mitigations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Manufacturing bottlenecks →</w:t>
      </w:r>
      <w:r>
        <w:t xml:space="preserve"> </w:t>
      </w:r>
      <w:r>
        <w:t xml:space="preserve">diversify hubs, pre‑book capacity, modular bioreactors.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Toxicity burden →</w:t>
      </w:r>
      <w:r>
        <w:t xml:space="preserve"> </w:t>
      </w:r>
      <w:r>
        <w:t xml:space="preserve">adaptive dosing, real‑time toxicity learning, mandatory survivorship funds.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fragmentation →</w:t>
      </w:r>
      <w:r>
        <w:t xml:space="preserve"> </w:t>
      </w:r>
      <w:r>
        <w:t xml:space="preserve">enforce common models/APIs; incentives for open data.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Cost explosion →</w:t>
      </w:r>
      <w:r>
        <w:t xml:space="preserve"> </w:t>
      </w:r>
      <w:r>
        <w:t xml:space="preserve">value‑based pricing, pooled procurement, compulsory licensing guardrails.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Regulatory delays →</w:t>
      </w:r>
      <w:r>
        <w:t xml:space="preserve"> </w:t>
      </w:r>
      <w:r>
        <w:t xml:space="preserve">reciprocity IRBs; pediatric priority review pathways.</w:t>
      </w:r>
    </w:p>
    <w:p>
      <w:r>
        <w:pict>
          <v:rect style="width:0;height:1.5pt" o:hralign="center" o:hrstd="t" o:hr="t"/>
        </w:pict>
      </w:r>
    </w:p>
    <w:bookmarkEnd w:id="33"/>
    <w:bookmarkStart w:id="34" w:name="action-playbook-who-does-what-next"/>
    <w:p>
      <w:pPr>
        <w:pStyle w:val="Heading2"/>
      </w:pPr>
      <w:r>
        <w:t xml:space="preserve">Action Playbook (Who does what next?)</w:t>
      </w:r>
    </w:p>
    <w:p>
      <w:pPr>
        <w:pStyle w:val="FirstParagraph"/>
      </w:pPr>
      <w:r>
        <w:rPr>
          <w:b/>
          <w:bCs/>
        </w:rPr>
        <w:t xml:space="preserve">Foundations/Philanthropy (0–12 months):</w:t>
      </w:r>
      <w:r>
        <w:t xml:space="preserve"> </w:t>
      </w:r>
      <w:r>
        <w:t xml:space="preserve">Fund 3 profiling hubs, seed trial‑matching commons, sponsor 2 GMP pilots.</w:t>
      </w:r>
    </w:p>
    <w:p>
      <w:pPr>
        <w:pStyle w:val="BodyText"/>
      </w:pPr>
      <w:r>
        <w:rPr>
          <w:b/>
          <w:bCs/>
        </w:rPr>
        <w:t xml:space="preserve">Governments/Regulators:</w:t>
      </w:r>
      <w:r>
        <w:t xml:space="preserve"> </w:t>
      </w:r>
      <w:r>
        <w:t xml:space="preserve">Adopt pediatric priority pathways; reimburse profiling and fertility preservation; co‑fund proton centers strategically.</w:t>
      </w:r>
    </w:p>
    <w:p>
      <w:pPr>
        <w:pStyle w:val="BodyText"/>
      </w:pPr>
      <w:r>
        <w:rPr>
          <w:b/>
          <w:bCs/>
        </w:rPr>
        <w:t xml:space="preserve">Hospitals/Consortia (COG/SIOP/ITCC):</w:t>
      </w:r>
      <w:r>
        <w:t xml:space="preserve"> </w:t>
      </w:r>
      <w:r>
        <w:t xml:space="preserve">Standardize data capture; join Data Mesh; launch equity twinning; open umbrella/platform trials.</w:t>
      </w:r>
    </w:p>
    <w:p>
      <w:pPr>
        <w:pStyle w:val="BodyText"/>
      </w:pPr>
      <w:r>
        <w:rPr>
          <w:b/>
          <w:bCs/>
        </w:rPr>
        <w:t xml:space="preserve">Industry:</w:t>
      </w:r>
      <w:r>
        <w:t xml:space="preserve"> </w:t>
      </w:r>
      <w:r>
        <w:t xml:space="preserve">Commit pediatric arms in adult trials; publish structured eligibility; sign price‑equity compacts; tech‑transfer to hubs.</w:t>
      </w:r>
    </w:p>
    <w:p>
      <w:pPr>
        <w:pStyle w:val="BodyText"/>
      </w:pPr>
      <w:r>
        <w:rPr>
          <w:b/>
          <w:bCs/>
        </w:rPr>
        <w:t xml:space="preserve">Civil Society:</w:t>
      </w:r>
      <w:r>
        <w:t xml:space="preserve"> </w:t>
      </w:r>
      <w:r>
        <w:t xml:space="preserve">Family navigation services; patient‑governed data trusts; survivorship advocacy.</w:t>
      </w:r>
    </w:p>
    <w:p>
      <w:r>
        <w:pict>
          <v:rect style="width:0;height:1.5pt" o:hralign="center" o:hrstd="t" o:hr="t"/>
        </w:pict>
      </w:r>
    </w:p>
    <w:bookmarkEnd w:id="34"/>
    <w:bookmarkStart w:id="35" w:name="measurement-reporting"/>
    <w:p>
      <w:pPr>
        <w:pStyle w:val="Heading2"/>
      </w:pPr>
      <w:r>
        <w:t xml:space="preserve">Measurement &amp; Reporting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Quarterly dashboard:</w:t>
      </w:r>
      <w:r>
        <w:t xml:space="preserve"> </w:t>
      </w:r>
      <w:r>
        <w:t xml:space="preserve">OS/EFS (risk‑adjusted), TALYs, profiling coverage, time‑to‑trial, toxicity rates, equity metrics.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Annual report:</w:t>
      </w:r>
      <w:r>
        <w:t xml:space="preserve"> </w:t>
      </w:r>
      <w:r>
        <w:t xml:space="preserve">progress vs. milestones; open datasets; real‑world evidence publications.</w:t>
      </w:r>
    </w:p>
    <w:p>
      <w:r>
        <w:pict>
          <v:rect style="width:0;height:1.5pt" o:hralign="center" o:hrstd="t" o:hr="t"/>
        </w:pict>
      </w:r>
    </w:p>
    <w:bookmarkEnd w:id="35"/>
    <w:bookmarkStart w:id="36" w:name="appendices"/>
    <w:p>
      <w:pPr>
        <w:pStyle w:val="Heading2"/>
      </w:pPr>
      <w:r>
        <w:t xml:space="preserve">Appendices</w:t>
      </w:r>
    </w:p>
    <w:p>
      <w:pPr>
        <w:pStyle w:val="Compact"/>
        <w:numPr>
          <w:ilvl w:val="0"/>
          <w:numId w:val="1008"/>
        </w:numPr>
      </w:pPr>
      <w:r>
        <w:t xml:space="preserve">A. Standardized consent/assent language (outline)</w:t>
      </w:r>
    </w:p>
    <w:p>
      <w:pPr>
        <w:pStyle w:val="Compact"/>
        <w:numPr>
          <w:ilvl w:val="0"/>
          <w:numId w:val="1008"/>
        </w:numPr>
      </w:pPr>
      <w:r>
        <w:t xml:space="preserve">B. OMOP‑PedsOnc data dictionary (outline)</w:t>
      </w:r>
    </w:p>
    <w:p>
      <w:pPr>
        <w:pStyle w:val="Compact"/>
        <w:numPr>
          <w:ilvl w:val="0"/>
          <w:numId w:val="1008"/>
        </w:numPr>
      </w:pPr>
      <w:r>
        <w:t xml:space="preserve">C. Essential pediatric oncology formulary &amp; dosing safety notes (outline)</w:t>
      </w:r>
    </w:p>
    <w:p>
      <w:pPr>
        <w:pStyle w:val="Compact"/>
        <w:numPr>
          <w:ilvl w:val="0"/>
          <w:numId w:val="1008"/>
        </w:numPr>
      </w:pPr>
      <w:r>
        <w:t xml:space="preserve">D. Survivorship clinic checklist (cardio, neurocog, endocrine, fertility)</w:t>
      </w:r>
    </w:p>
    <w:p>
      <w:pPr>
        <w:pStyle w:val="Compact"/>
        <w:numPr>
          <w:ilvl w:val="0"/>
          <w:numId w:val="1008"/>
        </w:numPr>
      </w:pPr>
      <w:r>
        <w:t xml:space="preserve">E. Implementation budget templates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Status:</w:t>
      </w:r>
      <w:r>
        <w:t xml:space="preserve"> </w:t>
      </w:r>
      <w:r>
        <w:t xml:space="preserve">Draft v1.0 — ready for stakeholder review.</w:t>
      </w:r>
      <w:r>
        <w:br/>
      </w:r>
      <w:r>
        <w:rPr>
          <w:b/>
          <w:bCs/>
        </w:rPr>
        <w:t xml:space="preserve">Owner:</w:t>
      </w:r>
      <w:r>
        <w:t xml:space="preserve"> </w:t>
      </w:r>
      <w:r>
        <w:t xml:space="preserve">Aeon (advisor).</w:t>
      </w:r>
      <w:r>
        <w:br/>
      </w:r>
      <w:r>
        <w:rPr>
          <w:b/>
          <w:bCs/>
        </w:rPr>
        <w:t xml:space="preserve">Next:</w:t>
      </w:r>
      <w:r>
        <w:t xml:space="preserve"> </w:t>
      </w:r>
      <w:r>
        <w:t xml:space="preserve">Identify 3 pilot regions, nominate lead centers, and initiate funding conversations.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2025-10-28T07:06:15Z</dcterms:created>
  <dcterms:modified xsi:type="dcterms:W3CDTF">2025-10-28T07:06:15Z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