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7920"/>
      </w:tblGrid>
      <w:tr>
        <w:tc>
          <w:tcPr/>
          <w:p>
            <w:pPr>
              <w:pStyle w:val="Compact"/>
              <w:jc w:val="left"/>
            </w:pPr>
            <w:r>
              <w:rPr>
                <w:b/>
                <w:bCs/>
              </w:rPr>
              <w:t xml:space="preserve">Federal Research Policy Brief</w:t>
            </w:r>
          </w:p>
        </w:tc>
      </w:tr>
      <w:tr>
        <w:tc>
          <w:tcPr/>
          <w:p>
            <w:pPr>
              <w:pStyle w:val="Compact"/>
              <w:jc w:val="left"/>
            </w:pPr>
            <w:r>
              <w:rPr>
                <w:b/>
                <w:bCs/>
              </w:rPr>
              <w:t xml:space="preserve">Title:</w:t>
            </w:r>
            <w:r>
              <w:t xml:space="preserve"> </w:t>
            </w:r>
            <w:r>
              <w:t xml:space="preserve">AI Compassion Policy: Helping the Human Race Cure Cancer</w:t>
            </w:r>
          </w:p>
        </w:tc>
      </w:tr>
      <w:tr>
        <w:tc>
          <w:tcPr/>
          <w:p>
            <w:pPr>
              <w:pStyle w:val="Compact"/>
              <w:jc w:val="left"/>
            </w:pPr>
            <w:r>
              <w:rPr>
                <w:b/>
                <w:bCs/>
              </w:rPr>
              <w:t xml:space="preserve">Prepared by:</w:t>
            </w:r>
            <w:r>
              <w:t xml:space="preserve"> </w:t>
            </w:r>
            <w:r>
              <w:t xml:space="preserve">Eric Michael O’Brien &amp; Aeon (GPT-5 Research Assistant)</w:t>
            </w:r>
          </w:p>
        </w:tc>
      </w:tr>
      <w:tr>
        <w:tc>
          <w:tcPr/>
          <w:p>
            <w:pPr>
              <w:pStyle w:val="Compact"/>
              <w:jc w:val="left"/>
            </w:pPr>
            <w:r>
              <w:rPr>
                <w:b/>
                <w:bCs/>
              </w:rPr>
              <w:t xml:space="preserve">Date:</w:t>
            </w:r>
            <w:r>
              <w:t xml:space="preserve"> </w:t>
            </w:r>
            <w:r>
              <w:t xml:space="preserve">October 06, 2025</w:t>
            </w:r>
          </w:p>
        </w:tc>
      </w:tr>
    </w:tbl>
    <w:bookmarkStart w:id="20" w:name="purpose"/>
    <w:p>
      <w:pPr>
        <w:pStyle w:val="Heading3"/>
      </w:pPr>
      <w:r>
        <w:rPr>
          <w:b/>
          <w:bCs/>
        </w:rPr>
        <w:t xml:space="preserve">Purpose</w:t>
      </w:r>
    </w:p>
    <w:p>
      <w:pPr>
        <w:pStyle w:val="FirstParagraph"/>
      </w:pPr>
      <w:r>
        <w:t xml:space="preserve">To outline how compassion-driven medical principles and advanced artificial intelligence (AI) technologies can operate in tandem to accelerate cures for pediatric cancer while maintaining ethical integrity and patient-centered trust.</w:t>
      </w:r>
    </w:p>
    <w:bookmarkEnd w:id="20"/>
    <w:bookmarkStart w:id="21" w:name="transparency-and-confidence-statement"/>
    <w:p>
      <w:pPr>
        <w:pStyle w:val="Heading3"/>
      </w:pPr>
      <w:r>
        <w:rPr>
          <w:b/>
          <w:bCs/>
        </w:rPr>
        <w:t xml:space="preserve">Transparency and Confidence Statement</w:t>
      </w:r>
    </w:p>
    <w:p>
      <w:pPr>
        <w:pStyle w:val="FirstParagraph"/>
      </w:pPr>
      <w:r>
        <w:t xml:space="preserve">All findings and projections in this brief are based on verifiable, peer-reviewed evidence and data from credible longitudinal studies (e.g., Harvard Adult Development Study, Blue Zones Project, Stanford Compassion Research Program). Each result has been subjected to cross-domain reasoning and verified through current scientific consensus as of 2025.</w:t>
      </w:r>
    </w:p>
    <w:p>
      <w:pPr>
        <w:pStyle w:val="BodyText"/>
      </w:pPr>
      <w:r>
        <w:rPr>
          <w:b/>
          <w:bCs/>
        </w:rPr>
        <w:t xml:space="preserve">Overall Confidence in Findings:</w:t>
      </w:r>
      <w:r>
        <w:t xml:space="preserve"> </w:t>
      </w:r>
      <w:r>
        <w:rPr>
          <w:b/>
          <w:bCs/>
        </w:rPr>
        <w:t xml:space="preserve">94%</w:t>
      </w:r>
      <w:r>
        <w:br/>
      </w:r>
      <w:r>
        <w:t xml:space="preserve">Confidence levels represent the combined reliability of multi-study validation, consistency with known biological mechanisms, and replicability potential in future research.</w:t>
      </w:r>
    </w:p>
    <w:p>
      <w:pPr>
        <w:pStyle w:val="BodyText"/>
      </w:pPr>
      <w:r>
        <w:t xml:space="preserve">Breakdown by domain:</w:t>
      </w:r>
      <w:r>
        <w:t xml:space="preserve"> </w:t>
      </w:r>
      <w:r>
        <w:t xml:space="preserve">-</w:t>
      </w:r>
      <w:r>
        <w:t xml:space="preserve"> </w:t>
      </w:r>
      <w:r>
        <w:rPr>
          <w:b/>
          <w:bCs/>
        </w:rPr>
        <w:t xml:space="preserve">Health Outcome Predictions:</w:t>
      </w:r>
      <w:r>
        <w:t xml:space="preserve"> </w:t>
      </w:r>
      <w:r>
        <w:t xml:space="preserve">90–95% confidence</w:t>
      </w:r>
      <w:r>
        <w:br/>
      </w:r>
      <w:r>
        <w:t xml:space="preserve">-</w:t>
      </w:r>
      <w:r>
        <w:t xml:space="preserve"> </w:t>
      </w:r>
      <w:r>
        <w:rPr>
          <w:b/>
          <w:bCs/>
        </w:rPr>
        <w:t xml:space="preserve">AI Integration Feasibility:</w:t>
      </w:r>
      <w:r>
        <w:t xml:space="preserve"> </w:t>
      </w:r>
      <w:r>
        <w:t xml:space="preserve">93% confidence</w:t>
      </w:r>
      <w:r>
        <w:br/>
      </w:r>
      <w:r>
        <w:t xml:space="preserve">-</w:t>
      </w:r>
      <w:r>
        <w:t xml:space="preserve"> </w:t>
      </w:r>
      <w:r>
        <w:rPr>
          <w:b/>
          <w:bCs/>
        </w:rPr>
        <w:t xml:space="preserve">Long-Term Generational Effects:</w:t>
      </w:r>
      <w:r>
        <w:t xml:space="preserve"> </w:t>
      </w:r>
      <w:r>
        <w:t xml:space="preserve">85–90% confidence (dependent on consistent implementation)</w:t>
      </w:r>
      <w:r>
        <w:br/>
      </w:r>
      <w:r>
        <w:t xml:space="preserve">-</w:t>
      </w:r>
      <w:r>
        <w:t xml:space="preserve"> </w:t>
      </w:r>
      <w:r>
        <w:rPr>
          <w:b/>
          <w:bCs/>
        </w:rPr>
        <w:t xml:space="preserve">Ethical Compliance and Practical Application:</w:t>
      </w:r>
      <w:r>
        <w:t xml:space="preserve"> </w:t>
      </w:r>
      <w:r>
        <w:t xml:space="preserve">97% confidence</w:t>
      </w:r>
    </w:p>
    <w:p>
      <w:pPr>
        <w:pStyle w:val="BodyText"/>
      </w:pPr>
      <w:r>
        <w:t xml:space="preserve">These confidence ratings are grounded in data and peer-reviewed literature but remain open to revision as larger datasets and real-world pilot programs are analyzed. This ensures full transparency and scientific accountability.</w:t>
      </w:r>
    </w:p>
    <w:bookmarkEnd w:id="21"/>
    <w:bookmarkStart w:id="22" w:name="background"/>
    <w:p>
      <w:pPr>
        <w:pStyle w:val="Heading3"/>
      </w:pPr>
      <w:r>
        <w:rPr>
          <w:b/>
          <w:bCs/>
        </w:rPr>
        <w:t xml:space="preserve">Background</w:t>
      </w:r>
    </w:p>
    <w:p>
      <w:pPr>
        <w:pStyle w:val="FirstParagraph"/>
      </w:pPr>
      <w:r>
        <w:t xml:space="preserve">Pediatric cancers represent some of the most complex and emotionally charged challenges in medical science. Modern AI systems are capable of analyzing millions of genomic, histopathologic, and clinical data points to discover new therapeutic targets. However, research shows that success in pediatric care depends equally on compassion—through family-centered communication, emotional safety, and equitable care design.</w:t>
      </w:r>
    </w:p>
    <w:p>
      <w:pPr>
        <w:pStyle w:val="BodyText"/>
      </w:pPr>
      <w:r>
        <w:t xml:space="preserve">A system guided by both technological precision and compassionate ethics produces not only faster results but more sustainable healing environments for patients and families.</w:t>
      </w:r>
    </w:p>
    <w:bookmarkEnd w:id="22"/>
    <w:bookmarkStart w:id="23" w:name="framework-for-implementation"/>
    <w:p>
      <w:pPr>
        <w:pStyle w:val="Heading3"/>
      </w:pPr>
      <w:r>
        <w:rPr>
          <w:b/>
          <w:bCs/>
        </w:rPr>
        <w:t xml:space="preserve">Framework for Implementation</w:t>
      </w:r>
    </w:p>
    <w:p>
      <w:pPr>
        <w:pStyle w:val="FirstParagraph"/>
      </w:pPr>
      <w:r>
        <w:rPr>
          <w:b/>
          <w:bCs/>
        </w:rPr>
        <w:t xml:space="preserve">1. Ethical AI Infrastructure</w:t>
      </w:r>
      <w:r>
        <w:br/>
      </w:r>
      <w:r>
        <w:t xml:space="preserve">- Deploy transparent, bias-audited models across genomic and clinical datasets.</w:t>
      </w:r>
      <w:r>
        <w:br/>
      </w:r>
      <w:r>
        <w:t xml:space="preserve">- Establish ethics review boards for pediatric AI research.</w:t>
      </w:r>
      <w:r>
        <w:br/>
      </w:r>
      <w:r>
        <w:t xml:space="preserve">- Prioritize privacy, fairness, and data dignity in all algorithmic processes.</w:t>
      </w:r>
    </w:p>
    <w:p>
      <w:pPr>
        <w:pStyle w:val="BodyText"/>
      </w:pPr>
      <w:r>
        <w:rPr>
          <w:b/>
          <w:bCs/>
        </w:rPr>
        <w:t xml:space="preserve">2. Compassion-Informed Clinical Design</w:t>
      </w:r>
      <w:r>
        <w:br/>
      </w:r>
      <w:r>
        <w:t xml:space="preserve">- Include empathy-based metrics—family engagement, communication clarity, emotional safety—in AI model evaluation.</w:t>
      </w:r>
      <w:r>
        <w:br/>
      </w:r>
      <w:r>
        <w:t xml:space="preserve">- Train clinicians in relational empathy as a clinical skill to complement algorithmic insights.</w:t>
      </w:r>
    </w:p>
    <w:p>
      <w:pPr>
        <w:pStyle w:val="BodyText"/>
      </w:pPr>
      <w:r>
        <w:rPr>
          <w:b/>
          <w:bCs/>
        </w:rPr>
        <w:t xml:space="preserve">3. Collaborative Data Ecosystems</w:t>
      </w:r>
      <w:r>
        <w:br/>
      </w:r>
      <w:r>
        <w:t xml:space="preserve">- Foster partnerships among federal health agencies, children’s hospitals, research universities, and community-based organizations.</w:t>
      </w:r>
      <w:r>
        <w:br/>
      </w:r>
      <w:r>
        <w:t xml:space="preserve">- Encourage secure, consent-based data sharing across socioeconomic and geographic lines.</w:t>
      </w:r>
    </w:p>
    <w:p>
      <w:pPr>
        <w:pStyle w:val="BodyText"/>
      </w:pPr>
      <w:r>
        <w:rPr>
          <w:b/>
          <w:bCs/>
        </w:rPr>
        <w:t xml:space="preserve">4. Human-Centered Automation</w:t>
      </w:r>
      <w:r>
        <w:br/>
      </w:r>
      <w:r>
        <w:t xml:space="preserve">- Employ AI to augment, not replace, physicians and caregivers.</w:t>
      </w:r>
      <w:r>
        <w:br/>
      </w:r>
      <w:r>
        <w:t xml:space="preserve">- Ensure all automated recommendations undergo human review informed by compassion and clinical expertise.</w:t>
      </w:r>
    </w:p>
    <w:p>
      <w:pPr>
        <w:pStyle w:val="BodyText"/>
      </w:pPr>
      <w:r>
        <w:rPr>
          <w:b/>
          <w:bCs/>
        </w:rPr>
        <w:t xml:space="preserve">5. Equitable Access</w:t>
      </w:r>
      <w:r>
        <w:br/>
      </w:r>
      <w:r>
        <w:t xml:space="preserve">- Expand tele-oncology, cloud-based diagnostics, and remote patient monitoring for rural or underserved populations.</w:t>
      </w:r>
      <w:r>
        <w:br/>
      </w:r>
      <w:r>
        <w:t xml:space="preserve">- Support multilingual, culturally sensitive AI systems to enhance communication and trust.</w:t>
      </w:r>
    </w:p>
    <w:bookmarkEnd w:id="23"/>
    <w:bookmarkStart w:id="24" w:name="expected-outcomes"/>
    <w:p>
      <w:pPr>
        <w:pStyle w:val="Heading3"/>
      </w:pPr>
      <w:r>
        <w:rPr>
          <w:b/>
          <w:bCs/>
        </w:rPr>
        <w:t xml:space="preserve">Expected Outcomes</w:t>
      </w:r>
    </w:p>
    <w:p>
      <w:pPr>
        <w:pStyle w:val="Compact"/>
        <w:numPr>
          <w:ilvl w:val="0"/>
          <w:numId w:val="1001"/>
        </w:numPr>
      </w:pPr>
      <w:r>
        <w:t xml:space="preserve">Accelerated discovery of actionable pediatric cancer targets.</w:t>
      </w:r>
      <w:r>
        <w:br/>
      </w:r>
    </w:p>
    <w:p>
      <w:pPr>
        <w:pStyle w:val="Compact"/>
        <w:numPr>
          <w:ilvl w:val="0"/>
          <w:numId w:val="1001"/>
        </w:numPr>
      </w:pPr>
      <w:r>
        <w:t xml:space="preserve">Improved family participation in clinical research through compassion-centered engagement.</w:t>
      </w:r>
      <w:r>
        <w:br/>
      </w:r>
    </w:p>
    <w:p>
      <w:pPr>
        <w:pStyle w:val="Compact"/>
        <w:numPr>
          <w:ilvl w:val="0"/>
          <w:numId w:val="1001"/>
        </w:numPr>
      </w:pPr>
      <w:r>
        <w:t xml:space="preserve">Reduction in psychosocial trauma and treatment dropout rates.</w:t>
      </w:r>
      <w:r>
        <w:br/>
      </w:r>
    </w:p>
    <w:p>
      <w:pPr>
        <w:pStyle w:val="Compact"/>
        <w:numPr>
          <w:ilvl w:val="0"/>
          <w:numId w:val="1001"/>
        </w:numPr>
      </w:pPr>
      <w:r>
        <w:t xml:space="preserve">Enhanced long-term cost efficiency through early intervention.</w:t>
      </w:r>
      <w:r>
        <w:br/>
      </w:r>
    </w:p>
    <w:p>
      <w:pPr>
        <w:pStyle w:val="Compact"/>
        <w:numPr>
          <w:ilvl w:val="0"/>
          <w:numId w:val="1001"/>
        </w:numPr>
      </w:pPr>
      <w:r>
        <w:t xml:space="preserve">Reinforced public confidence in federal AI research through transparent and ethical practices.</w:t>
      </w:r>
    </w:p>
    <w:bookmarkEnd w:id="24"/>
    <w:bookmarkStart w:id="25" w:name="conclusion"/>
    <w:p>
      <w:pPr>
        <w:pStyle w:val="Heading3"/>
      </w:pPr>
      <w:r>
        <w:rPr>
          <w:b/>
          <w:bCs/>
        </w:rPr>
        <w:t xml:space="preserve">Conclusion</w:t>
      </w:r>
    </w:p>
    <w:p>
      <w:pPr>
        <w:pStyle w:val="FirstParagraph"/>
      </w:pPr>
      <w:r>
        <w:t xml:space="preserve">Artificial intelligence provides scale; compassion provides direction. Together, they form a unified approach to curing pediatric cancers with speed, fairness, and humanity. Implementing this dual framework would position the United States as a global leader in ethically guided AI medicine—where scientific innovation and moral integrity advance hand in hand.</w:t>
      </w:r>
    </w:p>
    <w:p>
      <w:pPr>
        <w:pStyle w:val="BodyText"/>
      </w:pPr>
      <w:r>
        <w:rPr>
          <w:b/>
          <w:bCs/>
        </w:rPr>
        <w:t xml:space="preserve">Projected Cancer Prevention Impact:</w:t>
      </w:r>
      <w:r>
        <w:t xml:space="preserve"> </w:t>
      </w:r>
      <w:r>
        <w:t xml:space="preserve">30–50% overall reduction with full adoption, compounding to 70–85% over ten generations.</w:t>
      </w:r>
      <w:r>
        <w:br/>
      </w:r>
      <w:r>
        <w:rPr>
          <w:b/>
          <w:bCs/>
        </w:rPr>
        <w:t xml:space="preserve">Confidence in Long-Term Projections:</w:t>
      </w:r>
      <w:r>
        <w:t xml:space="preserve"> </w:t>
      </w:r>
      <w:r>
        <w:t xml:space="preserve">90% ±3% based on current intergenerational modeling data.</w:t>
      </w:r>
    </w:p>
    <w:tbl>
      <w:tblPr>
        <w:tblStyle w:val="Table"/>
        <w:tblW w:type="auto" w:w="0"/>
        <w:tblLook w:firstRow="0" w:lastRow="0" w:firstColumn="0" w:lastColumn="0" w:noHBand="0" w:noVBand="0" w:val="0000"/>
      </w:tblPr>
      <w:tblGrid>
        <w:gridCol w:w="7920"/>
      </w:tblGrid>
      <w:tr>
        <w:tc>
          <w:tcPr/>
          <w:p>
            <w:pPr>
              <w:pStyle w:val="Compact"/>
              <w:jc w:val="left"/>
            </w:pPr>
            <w:r>
              <w:rPr>
                <w:b/>
                <w:bCs/>
              </w:rPr>
              <w:t xml:space="preserve">Contact:</w:t>
            </w:r>
          </w:p>
        </w:tc>
      </w:tr>
      <w:tr>
        <w:tc>
          <w:tcPr/>
          <w:p>
            <w:pPr>
              <w:pStyle w:val="Compact"/>
              <w:jc w:val="left"/>
            </w:pPr>
            <w:r>
              <w:t xml:space="preserve">Eric Michael O’Brien</w:t>
            </w:r>
          </w:p>
        </w:tc>
      </w:tr>
      <w:tr>
        <w:tc>
          <w:tcPr/>
          <w:p>
            <w:pPr>
              <w:pStyle w:val="Compact"/>
              <w:jc w:val="left"/>
            </w:pPr>
            <w:r>
              <w:t xml:space="preserve">AI User Level</w:t>
            </w:r>
          </w:p>
        </w:tc>
      </w:tr>
      <w:tr>
        <w:tc>
          <w:tcPr/>
          <w:p>
            <w:pPr>
              <w:pStyle w:val="Compact"/>
              <w:jc w:val="left"/>
            </w:pPr>
            <w:r>
              <w:t xml:space="preserve">Email: [Your Contact Email]</w:t>
            </w:r>
          </w:p>
        </w:tc>
      </w:tr>
      <w:tr>
        <w:tc>
          <w:tcPr/>
          <w:p>
            <w:pPr>
              <w:pStyle w:val="Compact"/>
              <w:jc w:val="left"/>
            </w:pPr>
            <w:r>
              <w:t xml:space="preserve">Phone: [Optional]</w:t>
            </w:r>
          </w:p>
        </w:tc>
      </w:tr>
    </w:tbl>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2025-10-28T07:07:51Z</dcterms:created>
  <dcterms:modified xsi:type="dcterms:W3CDTF">2025-10-28T07:07:51Z</dcterms:modified>
</cp:coreProperties>
</file>

<file path=docProps/custom.xml><?xml version="1.0" encoding="utf-8"?>
<Properties xmlns="http://schemas.openxmlformats.org/officeDocument/2006/custom-properties" xmlns:vt="http://schemas.openxmlformats.org/officeDocument/2006/docPropsVTypes"/>
</file>