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Global Crypto Stabilization Roadmap (Phase 0–1)</w:t>
      </w:r>
    </w:p>
    <w:p>
      <w:pPr>
        <w:pStyle w:val="Heading1"/>
      </w:pPr>
      <w:r>
        <w:t>Phase 0 — Stand-Up &amp; Scope (0 – 3 months)</w:t>
      </w:r>
    </w:p>
    <w:p>
      <w:r>
        <w:br/>
        <w:t>Objective:</w:t>
        <w:br/>
        <w:t>Establish a coordinated global governance structure and unified taxonomy for digital assets, ensuring that every stakeholder — government, exchange, institutional investor, and developer — is operating under the same conceptual framework.</w:t>
        <w:br/>
      </w:r>
    </w:p>
    <w:p>
      <w:pPr>
        <w:pStyle w:val="Heading2"/>
      </w:pPr>
      <w:r>
        <w:t>Key Actions:</w:t>
      </w:r>
    </w:p>
    <w:p>
      <w:pPr>
        <w:pStyle w:val="ListBullet"/>
      </w:pPr>
      <w:r>
        <w:t>Create the Global Digital Asset Board (GDAB) under G20/BIS oversight.</w:t>
      </w:r>
    </w:p>
    <w:p>
      <w:pPr>
        <w:pStyle w:val="ListBullet"/>
      </w:pPr>
      <w:r>
        <w:t>Develop Unified Asset Taxonomy v1.0 with categories: security, utility, payment, governance, RWA, stablecoin.</w:t>
      </w:r>
    </w:p>
    <w:p>
      <w:pPr>
        <w:pStyle w:val="ListBullet"/>
      </w:pPr>
      <w:r>
        <w:t>Establish an Open Data Schema &amp; API Standard for transparent reporting on reserves and liquidity.</w:t>
      </w:r>
    </w:p>
    <w:p>
      <w:pPr>
        <w:pStyle w:val="ListBullet"/>
      </w:pPr>
      <w:r>
        <w:t>Form Stakeholder Coalition (MoU) across top 30 jurisdictions and exchanges.</w:t>
      </w:r>
    </w:p>
    <w:p>
      <w:pPr>
        <w:pStyle w:val="Heading2"/>
      </w:pPr>
      <w:r>
        <w:t>Expected Deliverables:</w:t>
      </w:r>
    </w:p>
    <w:p>
      <w:r>
        <w:br/>
        <w:t>- GDAB Charter and Secretariat established.</w:t>
        <w:br/>
        <w:t>- Global taxonomy and API schema drafts published.</w:t>
        <w:br/>
        <w:t>- Memorandum of Understanding signed by major jurisdictions and exchanges.</w:t>
        <w:br/>
      </w:r>
    </w:p>
    <w:p>
      <w:pPr>
        <w:pStyle w:val="Heading1"/>
      </w:pPr>
      <w:r>
        <w:t>Phase 1 — Immediate Risk Controls (0 – 6 months)</w:t>
      </w:r>
    </w:p>
    <w:p>
      <w:r>
        <w:br/>
        <w:t>Objective:</w:t>
        <w:br/>
        <w:t>Contain systemic risk in crypto markets and protect the public by immediately limiting excessive leverage, enforcing transparency, and preventing exchange collapses.</w:t>
        <w:br/>
      </w:r>
    </w:p>
    <w:p>
      <w:pPr>
        <w:pStyle w:val="Heading2"/>
      </w:pPr>
      <w:r>
        <w:t>Core Reforms:</w:t>
      </w:r>
    </w:p>
    <w:p>
      <w:pPr>
        <w:pStyle w:val="ListBullet"/>
      </w:pPr>
      <w:r>
        <w:t>Leverage &amp; Liquidation Reform – enforce caps of 10x retail / 20x institutional and circuit breakers.</w:t>
      </w:r>
    </w:p>
    <w:p>
      <w:pPr>
        <w:pStyle w:val="ListBullet"/>
      </w:pPr>
      <w:r>
        <w:t>Proof-of-Reserves / Proof-of-Liabilities (PoR / PoL) – audited monthly, public Merkle proofs for users.</w:t>
      </w:r>
    </w:p>
    <w:p>
      <w:pPr>
        <w:pStyle w:val="ListBullet"/>
      </w:pPr>
      <w:r>
        <w:t>Segregated Custody &amp; Bankruptcy Protection – legal asset segregation and third-party custodianship.</w:t>
      </w:r>
    </w:p>
    <w:p>
      <w:pPr>
        <w:pStyle w:val="ListBullet"/>
      </w:pPr>
      <w:r>
        <w:t>Privacy-Preserving AML – zero-knowledge KYC and global Travel Rule compliance.</w:t>
      </w:r>
    </w:p>
    <w:p>
      <w:pPr>
        <w:pStyle w:val="ListBullet"/>
      </w:pPr>
      <w:r>
        <w:t>Emergency Circuit Breakers &amp; Market Surveillance – coordinated AI-driven anomaly detection.</w:t>
      </w:r>
    </w:p>
    <w:p>
      <w:pPr>
        <w:pStyle w:val="Heading2"/>
      </w:pPr>
      <w:r>
        <w:t>KPIs (6-Month Targets):</w:t>
      </w:r>
    </w:p>
    <w:p>
      <w:r>
        <w:br/>
        <w:t>- 80% of top 20 exchanges adopt leverage caps.</w:t>
        <w:br/>
        <w:t>- 90% of Tier-1 volume covered by PoR/PoL reports.</w:t>
        <w:br/>
        <w:t>- 75% of Tier-1 assets ring-fenced with segregated custody.</w:t>
        <w:br/>
        <w:t>- 95% AML verification success with zk-proof system.</w:t>
        <w:br/>
        <w:t>- Full cross-venue circuit breaker tested and functional.</w:t>
        <w:br/>
      </w:r>
    </w:p>
    <w:p>
      <w:pPr>
        <w:pStyle w:val="Heading2"/>
      </w:pPr>
      <w:r>
        <w:t>Benefits for the People:</w:t>
      </w:r>
    </w:p>
    <w:p>
      <w:r>
        <w:br/>
        <w:t>- Verified, transparent exchanges replace “trust us” models.</w:t>
        <w:br/>
        <w:t>- Retail traders shielded from leverage-induced collapses.</w:t>
        <w:br/>
        <w:t>- Global privacy-preserving compliance ensures fair access.</w:t>
        <w:br/>
        <w:t>- Transparency and accountability across all crypto markets.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