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7AB2" w14:textId="77777777" w:rsidR="00163701" w:rsidRDefault="0015185E">
      <w:pPr>
        <w:pStyle w:val="Heading1"/>
      </w:pPr>
      <w:bookmarkStart w:id="0" w:name="white-paper"/>
      <w:r>
        <w:t>White Paper</w:t>
      </w:r>
    </w:p>
    <w:p w14:paraId="0E60D822" w14:textId="77777777" w:rsidR="00163701" w:rsidRDefault="0015185E">
      <w:pPr>
        <w:pStyle w:val="FirstParagraph"/>
      </w:pPr>
      <w:r>
        <w:rPr>
          <w:b/>
          <w:bCs/>
        </w:rPr>
        <w:t>Title:</w:t>
      </w:r>
      <w:r>
        <w:t xml:space="preserve"> Indus “Joint Seal” Hypothesis &amp; Cross‑Cultural Transmission Claims — A Transparent, Pre‑Registered Attempt to Falsify</w:t>
      </w:r>
    </w:p>
    <w:p w14:paraId="34503F2F" w14:textId="77777777" w:rsidR="00163701" w:rsidRDefault="0015185E">
      <w:pPr>
        <w:pStyle w:val="BodyText"/>
      </w:pPr>
      <w:r>
        <w:rPr>
          <w:b/>
          <w:bCs/>
        </w:rPr>
        <w:t>Version:</w:t>
      </w:r>
      <w:r>
        <w:t xml:space="preserve"> 1.0</w:t>
      </w:r>
      <w:r>
        <w:br/>
      </w:r>
      <w:r>
        <w:rPr>
          <w:b/>
          <w:bCs/>
        </w:rPr>
        <w:t>Date:</w:t>
      </w:r>
      <w:r>
        <w:t xml:space="preserve"> October 7, 2025</w:t>
      </w:r>
      <w:r>
        <w:br/>
      </w:r>
      <w:r>
        <w:rPr>
          <w:b/>
          <w:bCs/>
        </w:rPr>
        <w:t>Prepared by:</w:t>
      </w:r>
      <w:r>
        <w:t xml:space="preserve"> Eric Michael O’Brien</w:t>
      </w:r>
      <w:r>
        <w:br/>
      </w:r>
      <w:r>
        <w:rPr>
          <w:b/>
          <w:bCs/>
        </w:rPr>
        <w:t>Project:</w:t>
      </w:r>
      <w:r>
        <w:t xml:space="preserve"> The Æon Knowledge Project</w:t>
      </w:r>
      <w:r>
        <w:br/>
      </w:r>
      <w:r>
        <w:rPr>
          <w:b/>
          <w:bCs/>
        </w:rPr>
        <w:t>AI partner:</w:t>
      </w:r>
      <w:r>
        <w:t xml:space="preserve"> Aeon</w:t>
      </w:r>
      <w:r>
        <w:br/>
      </w:r>
      <w:r>
        <w:rPr>
          <w:b/>
          <w:bCs/>
        </w:rPr>
        <w:t>Technical lead:</w:t>
      </w:r>
      <w:r>
        <w:t xml:space="preserve"> Aeon (research engineering &amp; methods)</w:t>
      </w:r>
    </w:p>
    <w:p w14:paraId="0594B5B6" w14:textId="77777777" w:rsidR="00163701" w:rsidRDefault="0015185E">
      <w:r>
        <w:pict w14:anchorId="78F3727A">
          <v:rect id="_x0000_i1025" style="width:0;height:1.5pt" o:hralign="center" o:hrstd="t" o:hr="t"/>
        </w:pict>
      </w:r>
    </w:p>
    <w:p w14:paraId="350BAD1B" w14:textId="77777777" w:rsidR="00163701" w:rsidRDefault="0015185E">
      <w:pPr>
        <w:pStyle w:val="Heading2"/>
      </w:pPr>
      <w:bookmarkStart w:id="1" w:name="executive-summary"/>
      <w:r>
        <w:t>Executive Summary</w:t>
      </w:r>
    </w:p>
    <w:p w14:paraId="1BFCC22C" w14:textId="77777777" w:rsidR="00163701" w:rsidRDefault="0015185E">
      <w:pPr>
        <w:pStyle w:val="FirstParagraph"/>
      </w:pPr>
      <w:r>
        <w:t>This white paper documents a rigorous, falsifiable investigation into three related ideas that appear in our internal draft (“The Æon Knowledge Project”):</w:t>
      </w:r>
    </w:p>
    <w:p w14:paraId="4AB1D1E6" w14:textId="77777777" w:rsidR="00163701" w:rsidRDefault="0015185E">
      <w:pPr>
        <w:pStyle w:val="Compact"/>
        <w:numPr>
          <w:ilvl w:val="0"/>
          <w:numId w:val="2"/>
        </w:numPr>
      </w:pPr>
      <w:r>
        <w:rPr>
          <w:b/>
          <w:bCs/>
        </w:rPr>
        <w:t>H1 — Indus “Joint Seal” Hypothesis:</w:t>
      </w:r>
      <w:r>
        <w:t xml:space="preserve"> some Indus stamp seals were intentionally manufactured as </w:t>
      </w:r>
      <w:r>
        <w:rPr>
          <w:b/>
          <w:bCs/>
        </w:rPr>
        <w:t>paired, interlocking halves</w:t>
      </w:r>
      <w:r>
        <w:t xml:space="preserve"> retained by different parties (contractual tokens), rather than only used to make impressions on clay.</w:t>
      </w:r>
    </w:p>
    <w:p w14:paraId="22CE3C13" w14:textId="77777777" w:rsidR="00163701" w:rsidRDefault="0015185E">
      <w:pPr>
        <w:pStyle w:val="Compact"/>
        <w:numPr>
          <w:ilvl w:val="0"/>
          <w:numId w:val="2"/>
        </w:numPr>
      </w:pPr>
      <w:r>
        <w:rPr>
          <w:b/>
          <w:bCs/>
        </w:rPr>
        <w:t>H2 — Indus → Maya Transmission:</w:t>
      </w:r>
      <w:r>
        <w:t xml:space="preserve"> iconographic/script parallels reflect </w:t>
      </w:r>
      <w:r>
        <w:rPr>
          <w:b/>
          <w:bCs/>
        </w:rPr>
        <w:t>trans‑Pacific contact</w:t>
      </w:r>
      <w:r>
        <w:t xml:space="preserve"> conveying Indus traditions into the Maya sphere.</w:t>
      </w:r>
    </w:p>
    <w:p w14:paraId="5CE35E5F" w14:textId="77777777" w:rsidR="00163701" w:rsidRDefault="0015185E">
      <w:pPr>
        <w:pStyle w:val="Compact"/>
        <w:numPr>
          <w:ilvl w:val="0"/>
          <w:numId w:val="2"/>
        </w:numPr>
      </w:pPr>
      <w:r>
        <w:rPr>
          <w:b/>
          <w:bCs/>
        </w:rPr>
        <w:t>H3 — Rongorongo ↔ Semitic:</w:t>
      </w:r>
      <w:r>
        <w:t xml:space="preserve"> Easter Island’s </w:t>
      </w:r>
      <w:r>
        <w:rPr>
          <w:b/>
          <w:bCs/>
        </w:rPr>
        <w:t>Rongorongo</w:t>
      </w:r>
      <w:r>
        <w:t xml:space="preserve"> script derives from (or is closely related to) </w:t>
      </w:r>
      <w:r>
        <w:rPr>
          <w:b/>
          <w:bCs/>
        </w:rPr>
        <w:t>Phoenician/Aramaic</w:t>
      </w:r>
      <w:r>
        <w:t xml:space="preserve"> alphabets.</w:t>
      </w:r>
    </w:p>
    <w:p w14:paraId="19A84891" w14:textId="77777777" w:rsidR="00163701" w:rsidRDefault="0015185E">
      <w:pPr>
        <w:pStyle w:val="FirstParagraph"/>
      </w:pPr>
      <w:r>
        <w:rPr>
          <w:b/>
          <w:bCs/>
        </w:rPr>
        <w:t>Bottom line so far:</w:t>
      </w:r>
    </w:p>
    <w:p w14:paraId="67F4A549" w14:textId="77777777" w:rsidR="00163701" w:rsidRDefault="0015185E">
      <w:pPr>
        <w:pStyle w:val="Compact"/>
        <w:numPr>
          <w:ilvl w:val="0"/>
          <w:numId w:val="3"/>
        </w:numPr>
      </w:pPr>
      <w:r>
        <w:t xml:space="preserve">We built a </w:t>
      </w:r>
      <w:r>
        <w:rPr>
          <w:b/>
          <w:bCs/>
        </w:rPr>
        <w:t>pre‑registered</w:t>
      </w:r>
      <w:r>
        <w:t xml:space="preserve"> plan, a </w:t>
      </w:r>
      <w:r>
        <w:rPr>
          <w:b/>
          <w:bCs/>
        </w:rPr>
        <w:t>lightweight triage pipeline</w:t>
      </w:r>
      <w:r>
        <w:t xml:space="preserve">, museum outreach templates, and a full </w:t>
      </w:r>
      <w:r>
        <w:rPr>
          <w:b/>
          <w:bCs/>
        </w:rPr>
        <w:t>artifact bundle</w:t>
      </w:r>
      <w:r>
        <w:t>.</w:t>
      </w:r>
    </w:p>
    <w:p w14:paraId="2F75CDB8" w14:textId="77777777" w:rsidR="00163701" w:rsidRDefault="0015185E">
      <w:pPr>
        <w:pStyle w:val="Compact"/>
        <w:numPr>
          <w:ilvl w:val="0"/>
          <w:numId w:val="3"/>
        </w:numPr>
      </w:pPr>
      <w:r>
        <w:t xml:space="preserve">Using </w:t>
      </w:r>
      <w:r>
        <w:rPr>
          <w:b/>
          <w:bCs/>
        </w:rPr>
        <w:t>synthetic data</w:t>
      </w:r>
      <w:r>
        <w:t>, the triage pipeline behaves as expected (it reliably surfaces constructed complementary pairs).</w:t>
      </w:r>
      <w:r>
        <w:br/>
      </w:r>
    </w:p>
    <w:p w14:paraId="5561CA68" w14:textId="77777777" w:rsidR="00163701" w:rsidRDefault="0015185E">
      <w:pPr>
        <w:pStyle w:val="Compact"/>
        <w:numPr>
          <w:ilvl w:val="0"/>
          <w:numId w:val="3"/>
        </w:numPr>
      </w:pPr>
      <w:r>
        <w:rPr>
          <w:b/>
          <w:bCs/>
        </w:rPr>
        <w:t>No real‑world evidence</w:t>
      </w:r>
      <w:r>
        <w:t xml:space="preserve"> has yet been produced that confirms H1, H2, or H3. Our literature‑anchored assessment places </w:t>
      </w:r>
      <w:r>
        <w:rPr>
          <w:b/>
          <w:bCs/>
        </w:rPr>
        <w:t>H1 as possible but unproven</w:t>
      </w:r>
      <w:r>
        <w:t xml:space="preserve">, and </w:t>
      </w:r>
      <w:r>
        <w:rPr>
          <w:b/>
          <w:bCs/>
        </w:rPr>
        <w:t>H2/H3 as not supported</w:t>
      </w:r>
      <w:r>
        <w:t xml:space="preserve"> by current consensus. These are provisional conclusions pending primary data acquisition (micro‑CT, FTIR, provenience checks).</w:t>
      </w:r>
    </w:p>
    <w:p w14:paraId="239EEB53" w14:textId="77777777" w:rsidR="00163701" w:rsidRDefault="0015185E">
      <w:pPr>
        <w:pStyle w:val="FirstParagraph"/>
      </w:pPr>
      <w:r>
        <w:t>We explain the precise tests that could change our minds and the thresholds required to do so.</w:t>
      </w:r>
    </w:p>
    <w:p w14:paraId="22B68614" w14:textId="77777777" w:rsidR="00163701" w:rsidRDefault="0015185E">
      <w:r>
        <w:pict w14:anchorId="2E7BA9D5">
          <v:rect id="_x0000_i1026" style="width:0;height:1.5pt" o:hralign="center" o:hrstd="t" o:hr="t"/>
        </w:pict>
      </w:r>
    </w:p>
    <w:p w14:paraId="4F426636" w14:textId="77777777" w:rsidR="00163701" w:rsidRDefault="0015185E">
      <w:pPr>
        <w:pStyle w:val="Heading2"/>
      </w:pPr>
      <w:bookmarkStart w:id="2" w:name="background-prior-work-concise"/>
      <w:bookmarkEnd w:id="1"/>
      <w:r>
        <w:lastRenderedPageBreak/>
        <w:t>Background &amp; Prior Work (Concise)</w:t>
      </w:r>
    </w:p>
    <w:p w14:paraId="41580141" w14:textId="77777777" w:rsidR="00163701" w:rsidRDefault="0015185E">
      <w:pPr>
        <w:pStyle w:val="Compact"/>
        <w:numPr>
          <w:ilvl w:val="0"/>
          <w:numId w:val="4"/>
        </w:numPr>
      </w:pPr>
      <w:r>
        <w:rPr>
          <w:b/>
          <w:bCs/>
        </w:rPr>
        <w:t>Indus seals</w:t>
      </w:r>
      <w:r>
        <w:t xml:space="preserve">: Mainstream scholarship interprets square stamp seals and their impressions (clay sealings) as </w:t>
      </w:r>
      <w:r>
        <w:rPr>
          <w:b/>
          <w:bCs/>
        </w:rPr>
        <w:t>administrative tools</w:t>
      </w:r>
      <w:r>
        <w:t xml:space="preserve"> used in trade/record‑keeping. Hundreds of sealings are attested across Indus sites.</w:t>
      </w:r>
    </w:p>
    <w:p w14:paraId="6834FA12" w14:textId="77777777" w:rsidR="00163701" w:rsidRDefault="0015185E">
      <w:pPr>
        <w:pStyle w:val="Compact"/>
        <w:numPr>
          <w:ilvl w:val="0"/>
          <w:numId w:val="4"/>
        </w:numPr>
      </w:pPr>
      <w:r>
        <w:rPr>
          <w:b/>
          <w:bCs/>
        </w:rPr>
        <w:t>Maya script</w:t>
      </w:r>
      <w:r>
        <w:t xml:space="preserve">: An </w:t>
      </w:r>
      <w:r>
        <w:rPr>
          <w:b/>
          <w:bCs/>
        </w:rPr>
        <w:t>independently developed</w:t>
      </w:r>
      <w:r>
        <w:t xml:space="preserve"> logosyllabic writing system; substantially deciphered; no accepted Old‑World parent.</w:t>
      </w:r>
    </w:p>
    <w:p w14:paraId="536A6E1D" w14:textId="77777777" w:rsidR="00163701" w:rsidRDefault="0015185E">
      <w:pPr>
        <w:pStyle w:val="Compact"/>
        <w:numPr>
          <w:ilvl w:val="0"/>
          <w:numId w:val="4"/>
        </w:numPr>
      </w:pPr>
      <w:r>
        <w:rPr>
          <w:b/>
          <w:bCs/>
        </w:rPr>
        <w:t>Trans‑Pacific contact</w:t>
      </w:r>
      <w:r>
        <w:t xml:space="preserve">: Robust evidence exists for </w:t>
      </w:r>
      <w:r>
        <w:rPr>
          <w:b/>
          <w:bCs/>
        </w:rPr>
        <w:t>Polynesia ↔ coastal South America</w:t>
      </w:r>
      <w:r>
        <w:t xml:space="preserve"> interaction during the last millennium, but this concerns South America, not the Maya region, and occurs millennia after the Indus urban florescence.</w:t>
      </w:r>
    </w:p>
    <w:p w14:paraId="350F25C1" w14:textId="77777777" w:rsidR="00163701" w:rsidRDefault="0015185E">
      <w:pPr>
        <w:pStyle w:val="Compact"/>
        <w:numPr>
          <w:ilvl w:val="0"/>
          <w:numId w:val="4"/>
        </w:numPr>
      </w:pPr>
      <w:r>
        <w:rPr>
          <w:b/>
          <w:bCs/>
        </w:rPr>
        <w:t>Rongorongo</w:t>
      </w:r>
      <w:r>
        <w:t xml:space="preserve">: The script is </w:t>
      </w:r>
      <w:r>
        <w:rPr>
          <w:b/>
          <w:bCs/>
        </w:rPr>
        <w:t>undeciphered</w:t>
      </w:r>
      <w:r>
        <w:t xml:space="preserve">; at least one tablet now appears </w:t>
      </w:r>
      <w:r>
        <w:rPr>
          <w:b/>
          <w:bCs/>
        </w:rPr>
        <w:t>pre‑contact</w:t>
      </w:r>
      <w:r>
        <w:t xml:space="preserve"> by radiocarbon dating; there is </w:t>
      </w:r>
      <w:r>
        <w:rPr>
          <w:b/>
          <w:bCs/>
        </w:rPr>
        <w:t>no accepted Semitic derivation</w:t>
      </w:r>
      <w:r>
        <w:t>.</w:t>
      </w:r>
    </w:p>
    <w:p w14:paraId="21282113" w14:textId="77777777" w:rsidR="00163701" w:rsidRDefault="0015185E">
      <w:pPr>
        <w:pStyle w:val="FirstParagraph"/>
      </w:pPr>
      <w:r>
        <w:rPr>
          <w:b/>
          <w:bCs/>
        </w:rPr>
        <w:t>Implication for our work:</w:t>
      </w:r>
      <w:r>
        <w:t xml:space="preserve"> Any positive claim must meet a </w:t>
      </w:r>
      <w:r>
        <w:rPr>
          <w:b/>
          <w:bCs/>
        </w:rPr>
        <w:t>very high evidentiary bar</w:t>
      </w:r>
      <w:r>
        <w:t xml:space="preserve"> that overcomes strong null models (chance visual similarity, independent invention, later contamination, or misread context).</w:t>
      </w:r>
    </w:p>
    <w:p w14:paraId="1B89A614" w14:textId="77777777" w:rsidR="00163701" w:rsidRDefault="0015185E">
      <w:r>
        <w:pict w14:anchorId="592F1F6D">
          <v:rect id="_x0000_i1027" style="width:0;height:1.5pt" o:hralign="center" o:hrstd="t" o:hr="t"/>
        </w:pict>
      </w:r>
    </w:p>
    <w:p w14:paraId="0AB50E62" w14:textId="77777777" w:rsidR="00163701" w:rsidRDefault="0015185E">
      <w:pPr>
        <w:pStyle w:val="Heading2"/>
      </w:pPr>
      <w:bookmarkStart w:id="3" w:name="research-questions-hypotheses"/>
      <w:bookmarkEnd w:id="2"/>
      <w:r>
        <w:t>Research Questions &amp; Hypotheses</w:t>
      </w:r>
    </w:p>
    <w:p w14:paraId="5EF57328" w14:textId="77777777" w:rsidR="00163701" w:rsidRDefault="0015185E">
      <w:pPr>
        <w:pStyle w:val="Heading3"/>
      </w:pPr>
      <w:bookmarkStart w:id="4" w:name="h1-indus-joint-seal-paired-halves"/>
      <w:r>
        <w:t>H1 — Indus “Joint Seal” (paired halves)</w:t>
      </w:r>
    </w:p>
    <w:p w14:paraId="094FB028" w14:textId="77777777" w:rsidR="00163701" w:rsidRDefault="0015185E">
      <w:pPr>
        <w:pStyle w:val="FirstParagraph"/>
      </w:pPr>
      <w:r>
        <w:rPr>
          <w:b/>
          <w:bCs/>
        </w:rPr>
        <w:t>Question:</w:t>
      </w:r>
      <w:r>
        <w:t xml:space="preserve"> Do any Indus seals represent two intentionally manufactured halves that were </w:t>
      </w:r>
      <w:r>
        <w:rPr>
          <w:b/>
          <w:bCs/>
        </w:rPr>
        <w:t>kept by different parties</w:t>
      </w:r>
      <w:r>
        <w:t xml:space="preserve"> and physically </w:t>
      </w:r>
      <w:r>
        <w:rPr>
          <w:b/>
          <w:bCs/>
        </w:rPr>
        <w:t>dock</w:t>
      </w:r>
      <w:r>
        <w:t>?</w:t>
      </w:r>
      <w:r>
        <w:br/>
      </w:r>
      <w:r>
        <w:rPr>
          <w:b/>
          <w:bCs/>
        </w:rPr>
        <w:t>Predictions if true:</w:t>
      </w:r>
      <w:r>
        <w:t xml:space="preserve"> - ≥1 </w:t>
      </w:r>
      <w:r>
        <w:rPr>
          <w:b/>
          <w:bCs/>
        </w:rPr>
        <w:t>complementary pair</w:t>
      </w:r>
      <w:r>
        <w:t xml:space="preserve"> with </w:t>
      </w:r>
      <w:r>
        <w:rPr>
          <w:b/>
          <w:bCs/>
        </w:rPr>
        <w:t>3D fracture surfaces</w:t>
      </w:r>
      <w:r>
        <w:t xml:space="preserve"> that match far beyond chance,</w:t>
      </w:r>
      <w:r>
        <w:br/>
        <w:t xml:space="preserve">- </w:t>
      </w:r>
      <w:r>
        <w:rPr>
          <w:b/>
          <w:bCs/>
        </w:rPr>
        <w:t>Residue</w:t>
      </w:r>
      <w:r>
        <w:t xml:space="preserve"> consistent with adhesives/resins on mating faces,</w:t>
      </w:r>
      <w:r>
        <w:br/>
        <w:t xml:space="preserve">- </w:t>
      </w:r>
      <w:r>
        <w:rPr>
          <w:b/>
          <w:bCs/>
        </w:rPr>
        <w:t>Use‑wear</w:t>
      </w:r>
      <w:r>
        <w:t xml:space="preserve"> patterns from docking (not stamping),</w:t>
      </w:r>
      <w:r>
        <w:br/>
        <w:t xml:space="preserve">- </w:t>
      </w:r>
      <w:r>
        <w:rPr>
          <w:b/>
          <w:bCs/>
        </w:rPr>
        <w:t>Contextual linkage</w:t>
      </w:r>
      <w:r>
        <w:t xml:space="preserve"> (co‑occurrence, ledger notes),</w:t>
      </w:r>
      <w:r>
        <w:br/>
        <w:t xml:space="preserve">- </w:t>
      </w:r>
      <w:r>
        <w:rPr>
          <w:b/>
          <w:bCs/>
        </w:rPr>
        <w:t>Absence</w:t>
      </w:r>
      <w:r>
        <w:t xml:space="preserve"> of half‑impressions among clay sealings for those halves.</w:t>
      </w:r>
    </w:p>
    <w:p w14:paraId="5125B437" w14:textId="77777777" w:rsidR="00163701" w:rsidRDefault="0015185E">
      <w:pPr>
        <w:pStyle w:val="Heading3"/>
      </w:pPr>
      <w:bookmarkStart w:id="5" w:name="h2-indus-maya-transmission"/>
      <w:bookmarkEnd w:id="4"/>
      <w:r>
        <w:t>H2 — Indus → Maya transmission</w:t>
      </w:r>
    </w:p>
    <w:p w14:paraId="2E7F78F9" w14:textId="77777777" w:rsidR="00163701" w:rsidRDefault="0015185E">
      <w:pPr>
        <w:pStyle w:val="FirstParagraph"/>
      </w:pPr>
      <w:r>
        <w:rPr>
          <w:b/>
          <w:bCs/>
        </w:rPr>
        <w:t>Question:</w:t>
      </w:r>
      <w:r>
        <w:t xml:space="preserve"> Is there traceable </w:t>
      </w:r>
      <w:r>
        <w:rPr>
          <w:b/>
          <w:bCs/>
        </w:rPr>
        <w:t>pre‑Columbian</w:t>
      </w:r>
      <w:r>
        <w:t xml:space="preserve"> contact leading to sign/icon transfer from the Indus to Mesoamerica?</w:t>
      </w:r>
      <w:r>
        <w:br/>
      </w:r>
      <w:r>
        <w:rPr>
          <w:b/>
          <w:bCs/>
        </w:rPr>
        <w:t>Strong evidence would include:</w:t>
      </w:r>
      <w:r>
        <w:t xml:space="preserve"> pre‑Classic </w:t>
      </w:r>
      <w:r>
        <w:rPr>
          <w:b/>
          <w:bCs/>
        </w:rPr>
        <w:t>South Asian genetic signal</w:t>
      </w:r>
      <w:r>
        <w:t xml:space="preserve"> in Mesoamerica, stratified </w:t>
      </w:r>
      <w:r>
        <w:rPr>
          <w:b/>
          <w:bCs/>
        </w:rPr>
        <w:t>Old‑World artifacts</w:t>
      </w:r>
      <w:r>
        <w:t xml:space="preserve"> with geochemical provenance, or </w:t>
      </w:r>
      <w:r>
        <w:rPr>
          <w:b/>
          <w:bCs/>
        </w:rPr>
        <w:t>testable epigraphic mappings</w:t>
      </w:r>
      <w:r>
        <w:t xml:space="preserve"> that predict readings across unseen texts.</w:t>
      </w:r>
    </w:p>
    <w:p w14:paraId="6B50BDDF" w14:textId="77777777" w:rsidR="00163701" w:rsidRDefault="0015185E">
      <w:pPr>
        <w:pStyle w:val="Heading3"/>
      </w:pPr>
      <w:bookmarkStart w:id="6" w:name="h3-rongorongo-semitic"/>
      <w:bookmarkEnd w:id="5"/>
      <w:r>
        <w:t>H3 — Rongorongo ↔ Semitic</w:t>
      </w:r>
    </w:p>
    <w:p w14:paraId="139116EA" w14:textId="77777777" w:rsidR="00163701" w:rsidRDefault="0015185E">
      <w:pPr>
        <w:pStyle w:val="FirstParagraph"/>
      </w:pPr>
      <w:r>
        <w:rPr>
          <w:b/>
          <w:bCs/>
        </w:rPr>
        <w:t>Question:</w:t>
      </w:r>
      <w:r>
        <w:t xml:space="preserve"> Does Rongorongo </w:t>
      </w:r>
      <w:r>
        <w:rPr>
          <w:b/>
          <w:bCs/>
        </w:rPr>
        <w:t>derive</w:t>
      </w:r>
      <w:r>
        <w:t xml:space="preserve"> from a Semitic alphabet?</w:t>
      </w:r>
      <w:r>
        <w:br/>
      </w:r>
      <w:r>
        <w:rPr>
          <w:b/>
          <w:bCs/>
        </w:rPr>
        <w:t>Strong evidence would include:</w:t>
      </w:r>
      <w:r>
        <w:t xml:space="preserve"> pre‑contact chronology </w:t>
      </w:r>
      <w:r>
        <w:rPr>
          <w:b/>
          <w:bCs/>
        </w:rPr>
        <w:t>plus</w:t>
      </w:r>
      <w:r>
        <w:t xml:space="preserve"> a </w:t>
      </w:r>
      <w:r>
        <w:rPr>
          <w:b/>
          <w:bCs/>
        </w:rPr>
        <w:t>predictive</w:t>
      </w:r>
      <w:r>
        <w:t xml:space="preserve"> grapheme–phonology mapping (e.g., acrophony) that generalizes across multiple tablets.</w:t>
      </w:r>
    </w:p>
    <w:p w14:paraId="4028CF12" w14:textId="77777777" w:rsidR="00163701" w:rsidRDefault="0015185E">
      <w:r>
        <w:lastRenderedPageBreak/>
        <w:pict w14:anchorId="7FD58AA3">
          <v:rect id="_x0000_i1028" style="width:0;height:1.5pt" o:hralign="center" o:hrstd="t" o:hr="t"/>
        </w:pict>
      </w:r>
    </w:p>
    <w:p w14:paraId="789CCAFD" w14:textId="77777777" w:rsidR="00163701" w:rsidRDefault="0015185E">
      <w:pPr>
        <w:pStyle w:val="Heading2"/>
      </w:pPr>
      <w:bookmarkStart w:id="7" w:name="methods-overview"/>
      <w:bookmarkEnd w:id="3"/>
      <w:bookmarkEnd w:id="6"/>
      <w:r>
        <w:t>Methods Overview</w:t>
      </w:r>
    </w:p>
    <w:p w14:paraId="322449DE" w14:textId="77777777" w:rsidR="00163701" w:rsidRDefault="0015185E">
      <w:pPr>
        <w:pStyle w:val="FirstParagraph"/>
      </w:pPr>
      <w:r>
        <w:t xml:space="preserve">We separate </w:t>
      </w:r>
      <w:r>
        <w:rPr>
          <w:b/>
          <w:bCs/>
        </w:rPr>
        <w:t>fast, low‑cost triage</w:t>
      </w:r>
      <w:r>
        <w:t xml:space="preserve"> from </w:t>
      </w:r>
      <w:r>
        <w:rPr>
          <w:b/>
          <w:bCs/>
        </w:rPr>
        <w:t>slow, decisive tests</w:t>
      </w:r>
      <w:r>
        <w:t>.</w:t>
      </w:r>
    </w:p>
    <w:p w14:paraId="35328A2A" w14:textId="77777777" w:rsidR="00163701" w:rsidRDefault="0015185E">
      <w:pPr>
        <w:pStyle w:val="Heading3"/>
      </w:pPr>
      <w:bookmarkStart w:id="8" w:name="phase-1-triage-implemented"/>
      <w:r>
        <w:t>Phase 1 — Triage (implemented)</w:t>
      </w:r>
    </w:p>
    <w:p w14:paraId="6EEB2FCB" w14:textId="77777777" w:rsidR="00163701" w:rsidRDefault="0015185E">
      <w:pPr>
        <w:pStyle w:val="Compact"/>
        <w:numPr>
          <w:ilvl w:val="0"/>
          <w:numId w:val="5"/>
        </w:numPr>
      </w:pPr>
      <w:r>
        <w:rPr>
          <w:b/>
          <w:bCs/>
        </w:rPr>
        <w:t>Image edge extraction</w:t>
      </w:r>
      <w:r>
        <w:t xml:space="preserve"> (dependency‑light): detect edges in top‑down photos of seals/halves.</w:t>
      </w:r>
    </w:p>
    <w:p w14:paraId="4F9563F9" w14:textId="77777777" w:rsidR="00163701" w:rsidRDefault="0015185E">
      <w:pPr>
        <w:pStyle w:val="Compact"/>
        <w:numPr>
          <w:ilvl w:val="0"/>
          <w:numId w:val="5"/>
        </w:numPr>
      </w:pPr>
      <w:r>
        <w:rPr>
          <w:b/>
          <w:bCs/>
        </w:rPr>
        <w:t>Complementarity heuristic</w:t>
      </w:r>
      <w:r>
        <w:t xml:space="preserve">: mirror one candidate, align both via </w:t>
      </w:r>
      <w:r>
        <w:rPr>
          <w:b/>
          <w:bCs/>
        </w:rPr>
        <w:t>PCA</w:t>
      </w:r>
      <w:r>
        <w:t xml:space="preserve"> on edge points, compute a </w:t>
      </w:r>
      <w:r>
        <w:rPr>
          <w:b/>
          <w:bCs/>
        </w:rPr>
        <w:t>bidirectional Chamfer</w:t>
      </w:r>
      <w:r>
        <w:t xml:space="preserve"> distance, convert to a 0–1 </w:t>
      </w:r>
      <w:r>
        <w:rPr>
          <w:b/>
          <w:bCs/>
        </w:rPr>
        <w:t>score</w:t>
      </w:r>
      <w:r>
        <w:t xml:space="preserve"> (1 = best).</w:t>
      </w:r>
    </w:p>
    <w:p w14:paraId="31293095" w14:textId="77777777" w:rsidR="00163701" w:rsidRDefault="0015185E">
      <w:pPr>
        <w:pStyle w:val="Compact"/>
        <w:numPr>
          <w:ilvl w:val="0"/>
          <w:numId w:val="5"/>
        </w:numPr>
      </w:pPr>
      <w:r>
        <w:rPr>
          <w:b/>
          <w:bCs/>
        </w:rPr>
        <w:t>Ranking</w:t>
      </w:r>
      <w:r>
        <w:t>: compute all pairwise scores within a corpus; export the top‑K for expert vetting and overlay visualization.</w:t>
      </w:r>
    </w:p>
    <w:p w14:paraId="143997E7" w14:textId="77777777" w:rsidR="00163701" w:rsidRDefault="0015185E">
      <w:pPr>
        <w:pStyle w:val="FirstParagraph"/>
      </w:pPr>
      <w:r>
        <w:rPr>
          <w:b/>
          <w:bCs/>
        </w:rPr>
        <w:t>Deliverables produced:</w:t>
      </w:r>
      <w:r>
        <w:t xml:space="preserve"> - </w:t>
      </w:r>
      <w:r>
        <w:rPr>
          <w:b/>
          <w:bCs/>
        </w:rPr>
        <w:t>Code &amp; Docs</w:t>
      </w:r>
      <w:r>
        <w:t xml:space="preserve">: a runnable triage script; README; pre‑registration doc; museum request templates; checklists; report template; OSF prereg text. - </w:t>
      </w:r>
      <w:r>
        <w:rPr>
          <w:b/>
          <w:bCs/>
        </w:rPr>
        <w:t>Synthetic demo</w:t>
      </w:r>
      <w:r>
        <w:t xml:space="preserve">: generated pseudo‑seals split by a jagged line; pipeline successfully ranks the true pairs at the top. - </w:t>
      </w:r>
      <w:r>
        <w:rPr>
          <w:b/>
          <w:bCs/>
        </w:rPr>
        <w:t>Overlays</w:t>
      </w:r>
      <w:r>
        <w:t>: side‑by‑side panels (A / mirrored‑B / overlay) to accelerate human review.</w:t>
      </w:r>
    </w:p>
    <w:p w14:paraId="00852F3F" w14:textId="77777777" w:rsidR="00163701" w:rsidRDefault="0015185E">
      <w:pPr>
        <w:pStyle w:val="BlockText"/>
      </w:pPr>
      <w:r>
        <w:t xml:space="preserve">Note: Triage </w:t>
      </w:r>
      <w:r>
        <w:rPr>
          <w:b/>
          <w:bCs/>
        </w:rPr>
        <w:t>does not prove</w:t>
      </w:r>
      <w:r>
        <w:t xml:space="preserve"> a pair; it only proposes </w:t>
      </w:r>
      <w:r>
        <w:rPr>
          <w:b/>
          <w:bCs/>
        </w:rPr>
        <w:t>candidates</w:t>
      </w:r>
      <w:r>
        <w:t xml:space="preserve"> for lab testing.</w:t>
      </w:r>
    </w:p>
    <w:p w14:paraId="10722B74" w14:textId="77777777" w:rsidR="00163701" w:rsidRDefault="0015185E">
      <w:pPr>
        <w:pStyle w:val="Heading3"/>
      </w:pPr>
      <w:bookmarkStart w:id="9" w:name="phase-2-expert-vetting-planned"/>
      <w:bookmarkEnd w:id="8"/>
      <w:r>
        <w:t>Phase 2 — Expert Vetting (planned)</w:t>
      </w:r>
    </w:p>
    <w:p w14:paraId="06F9B106" w14:textId="77777777" w:rsidR="00163701" w:rsidRDefault="0015185E">
      <w:pPr>
        <w:pStyle w:val="Compact"/>
        <w:numPr>
          <w:ilvl w:val="0"/>
          <w:numId w:val="6"/>
        </w:numPr>
      </w:pPr>
      <w:r>
        <w:t xml:space="preserve">Human inspection of top‑scoring pairs with overlays; elimination of false positives; selection of </w:t>
      </w:r>
      <w:r>
        <w:rPr>
          <w:b/>
          <w:bCs/>
        </w:rPr>
        <w:t>N</w:t>
      </w:r>
      <w:r>
        <w:t xml:space="preserve"> best candidates for lab work.</w:t>
      </w:r>
    </w:p>
    <w:p w14:paraId="3408F4C8" w14:textId="77777777" w:rsidR="00163701" w:rsidRDefault="0015185E">
      <w:pPr>
        <w:pStyle w:val="Heading3"/>
      </w:pPr>
      <w:bookmarkStart w:id="10" w:name="phase-3-strong-tests-planned"/>
      <w:bookmarkEnd w:id="9"/>
      <w:r>
        <w:t>Phase 3 — Strong Tests (planned)</w:t>
      </w:r>
    </w:p>
    <w:p w14:paraId="56A36453" w14:textId="77777777" w:rsidR="00163701" w:rsidRDefault="0015185E">
      <w:pPr>
        <w:pStyle w:val="Compact"/>
        <w:numPr>
          <w:ilvl w:val="0"/>
          <w:numId w:val="7"/>
        </w:numPr>
      </w:pPr>
      <w:r>
        <w:rPr>
          <w:b/>
          <w:bCs/>
        </w:rPr>
        <w:t>Micro‑CT</w:t>
      </w:r>
      <w:r>
        <w:t xml:space="preserve">: reconstruct meshes of candidate halves; compute </w:t>
      </w:r>
      <w:r>
        <w:rPr>
          <w:b/>
          <w:bCs/>
        </w:rPr>
        <w:t>RMS surface distance</w:t>
      </w:r>
      <w:r>
        <w:t xml:space="preserve"> and surface overlap after registration; pre‑registered pass threshold: </w:t>
      </w:r>
      <w:r>
        <w:rPr>
          <w:b/>
          <w:bCs/>
        </w:rPr>
        <w:t>≤ 0.15 mm RMS</w:t>
      </w:r>
      <w:r>
        <w:t xml:space="preserve"> and </w:t>
      </w:r>
      <w:r>
        <w:rPr>
          <w:b/>
          <w:bCs/>
        </w:rPr>
        <w:t>Bayes factor ≥ 10</w:t>
      </w:r>
      <w:r>
        <w:t xml:space="preserve"> vs null pairing.</w:t>
      </w:r>
    </w:p>
    <w:p w14:paraId="554CA72B" w14:textId="77777777" w:rsidR="00163701" w:rsidRDefault="0015185E">
      <w:pPr>
        <w:pStyle w:val="Compact"/>
        <w:numPr>
          <w:ilvl w:val="0"/>
          <w:numId w:val="7"/>
        </w:numPr>
      </w:pPr>
      <w:r>
        <w:rPr>
          <w:b/>
          <w:bCs/>
        </w:rPr>
        <w:t>FTIR‑ATR</w:t>
      </w:r>
      <w:r>
        <w:t xml:space="preserve"> (and, if approved, </w:t>
      </w:r>
      <w:r>
        <w:rPr>
          <w:b/>
          <w:bCs/>
        </w:rPr>
        <w:t>GC‑MS</w:t>
      </w:r>
      <w:r>
        <w:t xml:space="preserve"> micro‑sampling): check for </w:t>
      </w:r>
      <w:r>
        <w:rPr>
          <w:b/>
          <w:bCs/>
        </w:rPr>
        <w:t>adhesive/resin</w:t>
      </w:r>
      <w:r>
        <w:t xml:space="preserve"> signatures on mating faces; control against non‑mating faces.</w:t>
      </w:r>
    </w:p>
    <w:p w14:paraId="78B60B10" w14:textId="77777777" w:rsidR="00163701" w:rsidRDefault="0015185E">
      <w:pPr>
        <w:pStyle w:val="Compact"/>
        <w:numPr>
          <w:ilvl w:val="0"/>
          <w:numId w:val="7"/>
        </w:numPr>
      </w:pPr>
      <w:r>
        <w:rPr>
          <w:b/>
          <w:bCs/>
        </w:rPr>
        <w:t>Use‑wear microscopy</w:t>
      </w:r>
      <w:r>
        <w:t xml:space="preserve">: edge‑wear consistent/inconsistent with </w:t>
      </w:r>
      <w:r>
        <w:rPr>
          <w:b/>
          <w:bCs/>
        </w:rPr>
        <w:t>docking</w:t>
      </w:r>
      <w:r>
        <w:t xml:space="preserve"> vs stamping.</w:t>
      </w:r>
    </w:p>
    <w:p w14:paraId="7AD35AF9" w14:textId="77777777" w:rsidR="00163701" w:rsidRDefault="0015185E">
      <w:pPr>
        <w:pStyle w:val="Compact"/>
        <w:numPr>
          <w:ilvl w:val="0"/>
          <w:numId w:val="7"/>
        </w:numPr>
      </w:pPr>
      <w:r>
        <w:rPr>
          <w:b/>
          <w:bCs/>
        </w:rPr>
        <w:t>Context audit</w:t>
      </w:r>
      <w:r>
        <w:t>: provenience logs, locus/stratum, any ledger cross‑references.</w:t>
      </w:r>
    </w:p>
    <w:p w14:paraId="1955ED88" w14:textId="77777777" w:rsidR="00163701" w:rsidRDefault="0015185E">
      <w:pPr>
        <w:pStyle w:val="Compact"/>
        <w:numPr>
          <w:ilvl w:val="0"/>
          <w:numId w:val="7"/>
        </w:numPr>
      </w:pPr>
      <w:r>
        <w:rPr>
          <w:b/>
          <w:bCs/>
        </w:rPr>
        <w:t>Clay sealing cross‑check</w:t>
      </w:r>
      <w:r>
        <w:t xml:space="preserve">: confirm </w:t>
      </w:r>
      <w:r>
        <w:rPr>
          <w:b/>
          <w:bCs/>
        </w:rPr>
        <w:t>absence</w:t>
      </w:r>
      <w:r>
        <w:t xml:space="preserve"> of corresponding half‑impressions.</w:t>
      </w:r>
    </w:p>
    <w:p w14:paraId="1086439D" w14:textId="77777777" w:rsidR="00163701" w:rsidRDefault="0015185E">
      <w:pPr>
        <w:pStyle w:val="Heading3"/>
      </w:pPr>
      <w:bookmarkStart w:id="11" w:name="bias-control-reproducibility"/>
      <w:bookmarkEnd w:id="10"/>
      <w:r>
        <w:t>Bias Control &amp; Reproducibility</w:t>
      </w:r>
    </w:p>
    <w:p w14:paraId="09DCA346" w14:textId="77777777" w:rsidR="00163701" w:rsidRDefault="0015185E">
      <w:pPr>
        <w:pStyle w:val="Compact"/>
        <w:numPr>
          <w:ilvl w:val="0"/>
          <w:numId w:val="8"/>
        </w:numPr>
      </w:pPr>
      <w:r>
        <w:rPr>
          <w:b/>
          <w:bCs/>
        </w:rPr>
        <w:t>Pre‑registration</w:t>
      </w:r>
      <w:r>
        <w:t xml:space="preserve"> with fixed thresholds and stopping rules.</w:t>
      </w:r>
      <w:r>
        <w:br/>
      </w:r>
    </w:p>
    <w:p w14:paraId="7070619C" w14:textId="77777777" w:rsidR="00163701" w:rsidRDefault="0015185E">
      <w:pPr>
        <w:pStyle w:val="Compact"/>
        <w:numPr>
          <w:ilvl w:val="0"/>
          <w:numId w:val="8"/>
        </w:numPr>
      </w:pPr>
      <w:r>
        <w:rPr>
          <w:b/>
          <w:bCs/>
        </w:rPr>
        <w:t>Site‑stratified null models</w:t>
      </w:r>
      <w:r>
        <w:t xml:space="preserve"> and </w:t>
      </w:r>
      <w:r>
        <w:rPr>
          <w:b/>
          <w:bCs/>
        </w:rPr>
        <w:t>synthetic controls</w:t>
      </w:r>
      <w:r>
        <w:t>.</w:t>
      </w:r>
      <w:r>
        <w:br/>
      </w:r>
    </w:p>
    <w:p w14:paraId="225D8BD2" w14:textId="77777777" w:rsidR="00163701" w:rsidRDefault="0015185E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Blinding</w:t>
      </w:r>
      <w:r>
        <w:t>: lab staff blind to triage scores during microscopy/chemistry.</w:t>
      </w:r>
      <w:r>
        <w:br/>
      </w:r>
    </w:p>
    <w:p w14:paraId="79C9AB5C" w14:textId="77777777" w:rsidR="00163701" w:rsidRDefault="0015185E">
      <w:pPr>
        <w:pStyle w:val="Compact"/>
        <w:numPr>
          <w:ilvl w:val="0"/>
          <w:numId w:val="8"/>
        </w:numPr>
      </w:pPr>
      <w:r>
        <w:rPr>
          <w:b/>
          <w:bCs/>
        </w:rPr>
        <w:t>Open materials</w:t>
      </w:r>
      <w:r>
        <w:t>: code under MIT; anonymized outputs shared; raw museum data per agreements.</w:t>
      </w:r>
    </w:p>
    <w:p w14:paraId="48BFF1D7" w14:textId="77777777" w:rsidR="00163701" w:rsidRDefault="0015185E">
      <w:r>
        <w:pict w14:anchorId="3E347A96">
          <v:rect id="_x0000_i1029" style="width:0;height:1.5pt" o:hralign="center" o:hrstd="t" o:hr="t"/>
        </w:pict>
      </w:r>
    </w:p>
    <w:p w14:paraId="06ADA40B" w14:textId="77777777" w:rsidR="00163701" w:rsidRDefault="0015185E">
      <w:pPr>
        <w:pStyle w:val="Heading2"/>
      </w:pPr>
      <w:bookmarkStart w:id="12" w:name="results-to-date-transparent"/>
      <w:bookmarkEnd w:id="7"/>
      <w:bookmarkEnd w:id="11"/>
      <w:r>
        <w:t>Results to Date (Transparent)</w:t>
      </w:r>
    </w:p>
    <w:p w14:paraId="4E7AF2CB" w14:textId="77777777" w:rsidR="00163701" w:rsidRDefault="0015185E">
      <w:pPr>
        <w:pStyle w:val="Compact"/>
        <w:numPr>
          <w:ilvl w:val="0"/>
          <w:numId w:val="9"/>
        </w:numPr>
      </w:pPr>
      <w:r>
        <w:rPr>
          <w:b/>
          <w:bCs/>
        </w:rPr>
        <w:t>Triage pipeline</w:t>
      </w:r>
      <w:r>
        <w:t xml:space="preserve">: implemented and tested on </w:t>
      </w:r>
      <w:r>
        <w:rPr>
          <w:b/>
          <w:bCs/>
        </w:rPr>
        <w:t>synthetic</w:t>
      </w:r>
      <w:r>
        <w:t xml:space="preserve"> data only; it ranked constructed complementary pairs at the top, as designed.</w:t>
      </w:r>
    </w:p>
    <w:p w14:paraId="5DC12372" w14:textId="77777777" w:rsidR="00163701" w:rsidRDefault="0015185E">
      <w:pPr>
        <w:pStyle w:val="Compact"/>
        <w:numPr>
          <w:ilvl w:val="0"/>
          <w:numId w:val="9"/>
        </w:numPr>
      </w:pPr>
      <w:r>
        <w:rPr>
          <w:b/>
          <w:bCs/>
        </w:rPr>
        <w:t>Real corpus</w:t>
      </w:r>
      <w:r>
        <w:t xml:space="preserve">: </w:t>
      </w:r>
      <w:r>
        <w:rPr>
          <w:b/>
          <w:bCs/>
        </w:rPr>
        <w:t>no museum images analyzed yet</w:t>
      </w:r>
      <w:r>
        <w:t xml:space="preserve"> (awaiting permissions). No claims are made about actual Indus objects at this time.</w:t>
      </w:r>
    </w:p>
    <w:p w14:paraId="5579B41D" w14:textId="77777777" w:rsidR="00163701" w:rsidRDefault="0015185E">
      <w:pPr>
        <w:pStyle w:val="Compact"/>
        <w:numPr>
          <w:ilvl w:val="0"/>
          <w:numId w:val="9"/>
        </w:numPr>
      </w:pPr>
      <w:r>
        <w:rPr>
          <w:b/>
          <w:bCs/>
        </w:rPr>
        <w:t>Pre‑registration</w:t>
      </w:r>
      <w:r>
        <w:t>: written and parameterized (thresholds, Bayes plan, stopping rules).</w:t>
      </w:r>
      <w:r>
        <w:br/>
      </w:r>
    </w:p>
    <w:p w14:paraId="38FFA55C" w14:textId="77777777" w:rsidR="00163701" w:rsidRDefault="0015185E">
      <w:pPr>
        <w:pStyle w:val="Compact"/>
        <w:numPr>
          <w:ilvl w:val="0"/>
          <w:numId w:val="9"/>
        </w:numPr>
      </w:pPr>
      <w:r>
        <w:rPr>
          <w:b/>
          <w:bCs/>
        </w:rPr>
        <w:t>Operational docs</w:t>
      </w:r>
      <w:r>
        <w:t>: museum request email, non‑destructive MOU draft, lab checklist, short report template, and OSF prereg text are ready for use.</w:t>
      </w:r>
    </w:p>
    <w:p w14:paraId="427798AF" w14:textId="77777777" w:rsidR="00163701" w:rsidRDefault="0015185E">
      <w:pPr>
        <w:pStyle w:val="FirstParagraph"/>
      </w:pPr>
      <w:r>
        <w:rPr>
          <w:b/>
          <w:bCs/>
        </w:rPr>
        <w:t>Interim scientific verdicts (provisional, subject to change with data):</w:t>
      </w:r>
      <w:r>
        <w:t xml:space="preserve"> - </w:t>
      </w:r>
      <w:r>
        <w:rPr>
          <w:b/>
          <w:bCs/>
        </w:rPr>
        <w:t>H1 (Joint Seal):</w:t>
      </w:r>
      <w:r>
        <w:t xml:space="preserve"> </w:t>
      </w:r>
      <w:r>
        <w:rPr>
          <w:i/>
          <w:iCs/>
        </w:rPr>
        <w:t>Unproven.</w:t>
      </w:r>
      <w:r>
        <w:t xml:space="preserve"> The hypothesis is biologically/technically plausible in principle but currently </w:t>
      </w:r>
      <w:r>
        <w:rPr>
          <w:b/>
          <w:bCs/>
        </w:rPr>
        <w:t>unsupported</w:t>
      </w:r>
      <w:r>
        <w:t xml:space="preserve"> by published specialist literature we are aware of. We have articulated </w:t>
      </w:r>
      <w:r>
        <w:rPr>
          <w:b/>
          <w:bCs/>
        </w:rPr>
        <w:t>clear tests</w:t>
      </w:r>
      <w:r>
        <w:t xml:space="preserve"> that could validate or falsify it. - </w:t>
      </w:r>
      <w:r>
        <w:rPr>
          <w:b/>
          <w:bCs/>
        </w:rPr>
        <w:t>H2 (Indus → Maya):</w:t>
      </w:r>
      <w:r>
        <w:t xml:space="preserve"> </w:t>
      </w:r>
      <w:r>
        <w:rPr>
          <w:i/>
          <w:iCs/>
        </w:rPr>
        <w:t>Not supported.</w:t>
      </w:r>
      <w:r>
        <w:t xml:space="preserve"> No convergent genetic/archaeological/epigraphic evidence presently substantiates this route. We would require </w:t>
      </w:r>
      <w:r>
        <w:rPr>
          <w:b/>
          <w:bCs/>
        </w:rPr>
        <w:t>multiple independent lines</w:t>
      </w:r>
      <w:r>
        <w:t xml:space="preserve"> (aDNA + artifacts + predictive epigraphy) to reconsider. - </w:t>
      </w:r>
      <w:r>
        <w:rPr>
          <w:b/>
          <w:bCs/>
        </w:rPr>
        <w:t>H3 (Rongorongo ↔ Semitic):</w:t>
      </w:r>
      <w:r>
        <w:t xml:space="preserve"> </w:t>
      </w:r>
      <w:r>
        <w:rPr>
          <w:i/>
          <w:iCs/>
        </w:rPr>
        <w:t>Not supported.</w:t>
      </w:r>
      <w:r>
        <w:t xml:space="preserve"> Even with a likely pre‑contact date for at least one tablet, there is </w:t>
      </w:r>
      <w:r>
        <w:rPr>
          <w:b/>
          <w:bCs/>
        </w:rPr>
        <w:t>no accepted</w:t>
      </w:r>
      <w:r>
        <w:t xml:space="preserve"> Semitic derivation; only a </w:t>
      </w:r>
      <w:r>
        <w:rPr>
          <w:b/>
          <w:bCs/>
        </w:rPr>
        <w:t>predictive</w:t>
      </w:r>
      <w:r>
        <w:t xml:space="preserve"> reading across tablets would be persuasive.</w:t>
      </w:r>
    </w:p>
    <w:p w14:paraId="01293863" w14:textId="77777777" w:rsidR="00163701" w:rsidRDefault="0015185E">
      <w:r>
        <w:pict w14:anchorId="7E4FB191">
          <v:rect id="_x0000_i1030" style="width:0;height:1.5pt" o:hralign="center" o:hrstd="t" o:hr="t"/>
        </w:pict>
      </w:r>
    </w:p>
    <w:p w14:paraId="2564D408" w14:textId="77777777" w:rsidR="00163701" w:rsidRDefault="0015185E">
      <w:pPr>
        <w:pStyle w:val="Heading2"/>
      </w:pPr>
      <w:bookmarkStart w:id="13" w:name="X29d4839159707d91faaa2c20ea6f373cb0d870d"/>
      <w:bookmarkEnd w:id="12"/>
      <w:r>
        <w:t>What Would Change Our Minds (Decision Criteria)</w:t>
      </w:r>
    </w:p>
    <w:p w14:paraId="2826F4E0" w14:textId="77777777" w:rsidR="00163701" w:rsidRDefault="0015185E">
      <w:pPr>
        <w:pStyle w:val="Compact"/>
        <w:numPr>
          <w:ilvl w:val="0"/>
          <w:numId w:val="10"/>
        </w:numPr>
      </w:pPr>
      <w:r>
        <w:rPr>
          <w:b/>
          <w:bCs/>
        </w:rPr>
        <w:t>For H1:</w:t>
      </w:r>
      <w:r>
        <w:t xml:space="preserve"> at least one independently replicated </w:t>
      </w:r>
      <w:r>
        <w:rPr>
          <w:b/>
          <w:bCs/>
        </w:rPr>
        <w:t>matched pair</w:t>
      </w:r>
      <w:r>
        <w:t xml:space="preserve"> with (a) </w:t>
      </w:r>
      <w:r>
        <w:rPr>
          <w:b/>
          <w:bCs/>
        </w:rPr>
        <w:t>≤ 0.15 mm RMS</w:t>
      </w:r>
      <w:r>
        <w:t xml:space="preserve"> after registration, (b) </w:t>
      </w:r>
      <w:r>
        <w:rPr>
          <w:b/>
          <w:bCs/>
        </w:rPr>
        <w:t>adhesive/resin</w:t>
      </w:r>
      <w:r>
        <w:t xml:space="preserve"> signatures on both mating faces (control‑corrected, FDR ≤ 5%), (c) </w:t>
      </w:r>
      <w:r>
        <w:rPr>
          <w:b/>
          <w:bCs/>
        </w:rPr>
        <w:t>contextual linkage</w:t>
      </w:r>
      <w:r>
        <w:t xml:space="preserve">, and (d) no contradicting </w:t>
      </w:r>
      <w:r>
        <w:rPr>
          <w:b/>
          <w:bCs/>
        </w:rPr>
        <w:t>half‑impressions</w:t>
      </w:r>
      <w:r>
        <w:t>.</w:t>
      </w:r>
      <w:r>
        <w:br/>
      </w:r>
    </w:p>
    <w:p w14:paraId="798CFCAB" w14:textId="77777777" w:rsidR="00163701" w:rsidRDefault="0015185E">
      <w:pPr>
        <w:pStyle w:val="Compact"/>
        <w:numPr>
          <w:ilvl w:val="0"/>
          <w:numId w:val="10"/>
        </w:numPr>
      </w:pPr>
      <w:r>
        <w:rPr>
          <w:b/>
          <w:bCs/>
        </w:rPr>
        <w:t>For H2:</w:t>
      </w:r>
      <w:r>
        <w:t xml:space="preserve"> pre‑Classic </w:t>
      </w:r>
      <w:r>
        <w:rPr>
          <w:b/>
          <w:bCs/>
        </w:rPr>
        <w:t>South Asian admixture</w:t>
      </w:r>
      <w:r>
        <w:t xml:space="preserve"> signal in Mesoamerica </w:t>
      </w:r>
      <w:r>
        <w:rPr>
          <w:b/>
          <w:bCs/>
        </w:rPr>
        <w:t>plus</w:t>
      </w:r>
      <w:r>
        <w:t xml:space="preserve"> stratified </w:t>
      </w:r>
      <w:r>
        <w:rPr>
          <w:b/>
          <w:bCs/>
        </w:rPr>
        <w:t>Old‑World artifacts</w:t>
      </w:r>
      <w:r>
        <w:t xml:space="preserve"> with South Asian provenance </w:t>
      </w:r>
      <w:r>
        <w:rPr>
          <w:b/>
          <w:bCs/>
        </w:rPr>
        <w:t>plus</w:t>
      </w:r>
      <w:r>
        <w:t xml:space="preserve"> a </w:t>
      </w:r>
      <w:r>
        <w:rPr>
          <w:b/>
          <w:bCs/>
        </w:rPr>
        <w:t>predictive</w:t>
      </w:r>
      <w:r>
        <w:t xml:space="preserve"> mapping from Indus signs to early Mesoamerican texts.</w:t>
      </w:r>
      <w:r>
        <w:br/>
      </w:r>
    </w:p>
    <w:p w14:paraId="30C612A9" w14:textId="77777777" w:rsidR="00163701" w:rsidRDefault="0015185E">
      <w:pPr>
        <w:pStyle w:val="Compact"/>
        <w:numPr>
          <w:ilvl w:val="0"/>
          <w:numId w:val="10"/>
        </w:numPr>
      </w:pPr>
      <w:r>
        <w:rPr>
          <w:b/>
          <w:bCs/>
        </w:rPr>
        <w:t>For H3:</w:t>
      </w:r>
      <w:r>
        <w:t xml:space="preserve"> pre‑contact chronology </w:t>
      </w:r>
      <w:r>
        <w:rPr>
          <w:b/>
          <w:bCs/>
        </w:rPr>
        <w:t>plus</w:t>
      </w:r>
      <w:r>
        <w:t xml:space="preserve"> a </w:t>
      </w:r>
      <w:r>
        <w:rPr>
          <w:b/>
          <w:bCs/>
        </w:rPr>
        <w:t>graphemic/phonological mapping</w:t>
      </w:r>
      <w:r>
        <w:t xml:space="preserve"> that produces </w:t>
      </w:r>
      <w:r>
        <w:rPr>
          <w:b/>
          <w:bCs/>
        </w:rPr>
        <w:t>correct readings</w:t>
      </w:r>
      <w:r>
        <w:t xml:space="preserve"> on held‑out Rongorongo texts.</w:t>
      </w:r>
    </w:p>
    <w:p w14:paraId="39C6BA3B" w14:textId="77777777" w:rsidR="00163701" w:rsidRDefault="0015185E">
      <w:pPr>
        <w:pStyle w:val="FirstParagraph"/>
      </w:pPr>
      <w:r>
        <w:lastRenderedPageBreak/>
        <w:t xml:space="preserve">If these criteria are </w:t>
      </w:r>
      <w:r>
        <w:rPr>
          <w:b/>
          <w:bCs/>
        </w:rPr>
        <w:t>not</w:t>
      </w:r>
      <w:r>
        <w:t xml:space="preserve"> met after adequately powered searches, we will </w:t>
      </w:r>
      <w:r>
        <w:rPr>
          <w:b/>
          <w:bCs/>
        </w:rPr>
        <w:t>withdraw</w:t>
      </w:r>
      <w:r>
        <w:t xml:space="preserve"> the corresponding claims.</w:t>
      </w:r>
    </w:p>
    <w:p w14:paraId="17E3454C" w14:textId="77777777" w:rsidR="00163701" w:rsidRDefault="0015185E">
      <w:r>
        <w:pict w14:anchorId="525C0927">
          <v:rect id="_x0000_i1031" style="width:0;height:1.5pt" o:hralign="center" o:hrstd="t" o:hr="t"/>
        </w:pict>
      </w:r>
    </w:p>
    <w:p w14:paraId="04E6429D" w14:textId="77777777" w:rsidR="00163701" w:rsidRDefault="0015185E">
      <w:pPr>
        <w:pStyle w:val="Heading2"/>
      </w:pPr>
      <w:bookmarkStart w:id="14" w:name="limitations-risks"/>
      <w:bookmarkEnd w:id="13"/>
      <w:r>
        <w:t>Limitations &amp; Risks</w:t>
      </w:r>
    </w:p>
    <w:p w14:paraId="109637E3" w14:textId="77777777" w:rsidR="00163701" w:rsidRDefault="0015185E">
      <w:pPr>
        <w:pStyle w:val="Compact"/>
        <w:numPr>
          <w:ilvl w:val="0"/>
          <w:numId w:val="11"/>
        </w:numPr>
      </w:pPr>
      <w:r>
        <w:rPr>
          <w:b/>
          <w:bCs/>
        </w:rPr>
        <w:t>Triage ≠ proof</w:t>
      </w:r>
      <w:r>
        <w:t>: The current pipeline is a heuristic; real seals have varied wear, lighting, and restoration history.</w:t>
      </w:r>
      <w:r>
        <w:br/>
      </w:r>
    </w:p>
    <w:p w14:paraId="6DEAB171" w14:textId="77777777" w:rsidR="00163701" w:rsidRDefault="0015185E">
      <w:pPr>
        <w:pStyle w:val="Compact"/>
        <w:numPr>
          <w:ilvl w:val="0"/>
          <w:numId w:val="11"/>
        </w:numPr>
      </w:pPr>
      <w:r>
        <w:rPr>
          <w:b/>
          <w:bCs/>
        </w:rPr>
        <w:t>Data access</w:t>
      </w:r>
      <w:r>
        <w:t>: Non‑destructive analysis depends on museum permissions and conservation constraints.</w:t>
      </w:r>
      <w:r>
        <w:br/>
      </w:r>
    </w:p>
    <w:p w14:paraId="5FA61BCF" w14:textId="77777777" w:rsidR="00163701" w:rsidRDefault="0015185E">
      <w:pPr>
        <w:pStyle w:val="Compact"/>
        <w:numPr>
          <w:ilvl w:val="0"/>
          <w:numId w:val="11"/>
        </w:numPr>
      </w:pPr>
      <w:r>
        <w:rPr>
          <w:b/>
          <w:bCs/>
        </w:rPr>
        <w:t>Contamination/confounding</w:t>
      </w:r>
      <w:r>
        <w:t>: Residue signals can reflect conservation treatments; rigorous controls are required.</w:t>
      </w:r>
      <w:r>
        <w:br/>
      </w:r>
    </w:p>
    <w:p w14:paraId="0285B370" w14:textId="77777777" w:rsidR="00163701" w:rsidRDefault="0015185E">
      <w:pPr>
        <w:pStyle w:val="Compact"/>
        <w:numPr>
          <w:ilvl w:val="0"/>
          <w:numId w:val="11"/>
        </w:numPr>
      </w:pPr>
      <w:r>
        <w:rPr>
          <w:b/>
          <w:bCs/>
        </w:rPr>
        <w:t>Publication bias</w:t>
      </w:r>
      <w:r>
        <w:t>: Negative results are valuable here and will be reported.</w:t>
      </w:r>
    </w:p>
    <w:p w14:paraId="5E417DFE" w14:textId="77777777" w:rsidR="00163701" w:rsidRDefault="0015185E">
      <w:r>
        <w:pict w14:anchorId="2FD7F237">
          <v:rect id="_x0000_i1032" style="width:0;height:1.5pt" o:hralign="center" o:hrstd="t" o:hr="t"/>
        </w:pict>
      </w:r>
    </w:p>
    <w:p w14:paraId="118B5CDC" w14:textId="77777777" w:rsidR="00163701" w:rsidRDefault="0015185E">
      <w:pPr>
        <w:pStyle w:val="Heading2"/>
      </w:pPr>
      <w:bookmarkStart w:id="15" w:name="next-steps-timeline-indicative"/>
      <w:bookmarkEnd w:id="14"/>
      <w:r>
        <w:t>Next Steps &amp; Timeline (Indicative)</w:t>
      </w:r>
    </w:p>
    <w:p w14:paraId="2A761766" w14:textId="77777777" w:rsidR="00163701" w:rsidRDefault="0015185E">
      <w:pPr>
        <w:pStyle w:val="Compact"/>
        <w:numPr>
          <w:ilvl w:val="0"/>
          <w:numId w:val="12"/>
        </w:numPr>
      </w:pPr>
      <w:r>
        <w:rPr>
          <w:b/>
          <w:bCs/>
        </w:rPr>
        <w:t>Outreach (Weeks 1–4):</w:t>
      </w:r>
      <w:r>
        <w:t xml:space="preserve"> Send museum request package; schedule micro‑CT/FTIR sessions for shortlisted collections.</w:t>
      </w:r>
      <w:r>
        <w:br/>
      </w:r>
    </w:p>
    <w:p w14:paraId="0F6C75BB" w14:textId="77777777" w:rsidR="00163701" w:rsidRDefault="0015185E">
      <w:pPr>
        <w:pStyle w:val="Compact"/>
        <w:numPr>
          <w:ilvl w:val="0"/>
          <w:numId w:val="12"/>
        </w:numPr>
      </w:pPr>
      <w:r>
        <w:rPr>
          <w:b/>
          <w:bCs/>
        </w:rPr>
        <w:t>Corpus Ingestion (Weeks 2–8):</w:t>
      </w:r>
      <w:r>
        <w:t xml:space="preserve"> Acquire high‑res imagery for triage; run pipeline; produce ranked lists and overlays.</w:t>
      </w:r>
      <w:r>
        <w:br/>
      </w:r>
    </w:p>
    <w:p w14:paraId="4EED39F6" w14:textId="77777777" w:rsidR="00163701" w:rsidRDefault="0015185E">
      <w:pPr>
        <w:pStyle w:val="Compact"/>
        <w:numPr>
          <w:ilvl w:val="0"/>
          <w:numId w:val="12"/>
        </w:numPr>
      </w:pPr>
      <w:r>
        <w:rPr>
          <w:b/>
          <w:bCs/>
        </w:rPr>
        <w:t>Lab Phase (Weeks 6–16):</w:t>
      </w:r>
      <w:r>
        <w:t xml:space="preserve"> Micro‑CT, FTIR‑ATR (and optional GC‑MS) on N best candidates; document with lab checklist; return short reports to museums.</w:t>
      </w:r>
      <w:r>
        <w:br/>
      </w:r>
    </w:p>
    <w:p w14:paraId="7DD56097" w14:textId="77777777" w:rsidR="00163701" w:rsidRDefault="0015185E">
      <w:pPr>
        <w:pStyle w:val="Compact"/>
        <w:numPr>
          <w:ilvl w:val="0"/>
          <w:numId w:val="12"/>
        </w:numPr>
      </w:pPr>
      <w:r>
        <w:rPr>
          <w:b/>
          <w:bCs/>
        </w:rPr>
        <w:t>Synthesis (Weeks 14–20):</w:t>
      </w:r>
      <w:r>
        <w:t xml:space="preserve"> Compute Bayes factors; finalize verdicts and archive all code/data/decisions.</w:t>
      </w:r>
    </w:p>
    <w:p w14:paraId="7DE772F8" w14:textId="77777777" w:rsidR="00163701" w:rsidRDefault="0015185E">
      <w:pPr>
        <w:pStyle w:val="FirstParagraph"/>
      </w:pPr>
      <w:r>
        <w:rPr>
          <w:b/>
          <w:bCs/>
        </w:rPr>
        <w:t>Stopping rule:</w:t>
      </w:r>
      <w:r>
        <w:t xml:space="preserve"> Halt the project if no triage scores exceed </w:t>
      </w:r>
      <w:r>
        <w:rPr>
          <w:b/>
          <w:bCs/>
        </w:rPr>
        <w:t>0.82</w:t>
      </w:r>
      <w:r>
        <w:t xml:space="preserve"> across a representative corpus </w:t>
      </w:r>
      <w:r>
        <w:rPr>
          <w:b/>
          <w:bCs/>
        </w:rPr>
        <w:t>or</w:t>
      </w:r>
      <w:r>
        <w:t xml:space="preserve"> after </w:t>
      </w:r>
      <w:r>
        <w:rPr>
          <w:b/>
          <w:bCs/>
        </w:rPr>
        <w:t>N = 30</w:t>
      </w:r>
      <w:r>
        <w:t xml:space="preserve"> lab tests yield </w:t>
      </w:r>
      <w:r>
        <w:rPr>
          <w:b/>
          <w:bCs/>
        </w:rPr>
        <w:t>no</w:t>
      </w:r>
      <w:r>
        <w:t xml:space="preserve"> BF ≥ 10.</w:t>
      </w:r>
    </w:p>
    <w:p w14:paraId="33328683" w14:textId="77777777" w:rsidR="00163701" w:rsidRDefault="0015185E">
      <w:r>
        <w:pict w14:anchorId="0A73E1AE">
          <v:rect id="_x0000_i1033" style="width:0;height:1.5pt" o:hralign="center" o:hrstd="t" o:hr="t"/>
        </w:pict>
      </w:r>
    </w:p>
    <w:p w14:paraId="345F1127" w14:textId="77777777" w:rsidR="00163701" w:rsidRDefault="0015185E">
      <w:pPr>
        <w:pStyle w:val="Heading2"/>
      </w:pPr>
      <w:bookmarkStart w:id="16" w:name="transparency-data-availability"/>
      <w:bookmarkEnd w:id="15"/>
      <w:r>
        <w:t>Transparency &amp; Data Availability</w:t>
      </w:r>
    </w:p>
    <w:p w14:paraId="3E21DC89" w14:textId="77777777" w:rsidR="00163701" w:rsidRDefault="0015185E">
      <w:pPr>
        <w:pStyle w:val="FirstParagraph"/>
      </w:pPr>
      <w:r>
        <w:t>All project artifacts produced so far are available in the working bundle (code, docs, overlays, CSVs). Museum‑derived raw data will be governed by institutional agreements; anonymized derivatives and code will be public.</w:t>
      </w:r>
    </w:p>
    <w:p w14:paraId="341645AB" w14:textId="77777777" w:rsidR="00163701" w:rsidRDefault="0015185E">
      <w:pPr>
        <w:pStyle w:val="Compact"/>
        <w:numPr>
          <w:ilvl w:val="0"/>
          <w:numId w:val="13"/>
        </w:numPr>
      </w:pPr>
      <w:r>
        <w:t>Triage outputs (synthetic) and overlays</w:t>
      </w:r>
      <w:r>
        <w:br/>
      </w:r>
    </w:p>
    <w:p w14:paraId="557B790D" w14:textId="77777777" w:rsidR="00163701" w:rsidRDefault="0015185E">
      <w:pPr>
        <w:pStyle w:val="Compact"/>
        <w:numPr>
          <w:ilvl w:val="0"/>
          <w:numId w:val="13"/>
        </w:numPr>
      </w:pPr>
      <w:r>
        <w:lastRenderedPageBreak/>
        <w:t>Pre‑registration (markdown)</w:t>
      </w:r>
      <w:r>
        <w:br/>
      </w:r>
    </w:p>
    <w:p w14:paraId="7CDFCFF2" w14:textId="77777777" w:rsidR="00163701" w:rsidRDefault="0015185E">
      <w:pPr>
        <w:pStyle w:val="Compact"/>
        <w:numPr>
          <w:ilvl w:val="0"/>
          <w:numId w:val="13"/>
        </w:numPr>
      </w:pPr>
      <w:r>
        <w:t>Museum request email template, non‑destructive MOU, lab checklist, short‑report template</w:t>
      </w:r>
      <w:r>
        <w:br/>
      </w:r>
    </w:p>
    <w:p w14:paraId="31396A28" w14:textId="77777777" w:rsidR="00163701" w:rsidRDefault="0015185E">
      <w:pPr>
        <w:pStyle w:val="Compact"/>
        <w:numPr>
          <w:ilvl w:val="0"/>
          <w:numId w:val="13"/>
        </w:numPr>
      </w:pPr>
      <w:r>
        <w:t>OSF preregistration text</w:t>
      </w:r>
    </w:p>
    <w:p w14:paraId="02AA4219" w14:textId="77777777" w:rsidR="00163701" w:rsidRDefault="0015185E">
      <w:pPr>
        <w:pStyle w:val="FirstParagraph"/>
      </w:pPr>
      <w:r>
        <w:t xml:space="preserve">Upon request, we will export a </w:t>
      </w:r>
      <w:r>
        <w:rPr>
          <w:b/>
          <w:bCs/>
        </w:rPr>
        <w:t>PDF</w:t>
      </w:r>
      <w:r>
        <w:t xml:space="preserve"> of this white paper and deposit all non‑restricted materials in an open repository.</w:t>
      </w:r>
    </w:p>
    <w:p w14:paraId="58B66A15" w14:textId="77777777" w:rsidR="00163701" w:rsidRDefault="0015185E">
      <w:r>
        <w:pict w14:anchorId="1AA57E72">
          <v:rect id="_x0000_i1034" style="width:0;height:1.5pt" o:hralign="center" o:hrstd="t" o:hr="t"/>
        </w:pict>
      </w:r>
    </w:p>
    <w:p w14:paraId="69109FE4" w14:textId="77777777" w:rsidR="00163701" w:rsidRDefault="0015185E">
      <w:pPr>
        <w:pStyle w:val="Heading2"/>
      </w:pPr>
      <w:bookmarkStart w:id="17" w:name="ethical-stance-conflict-disclosure"/>
      <w:bookmarkEnd w:id="16"/>
      <w:r>
        <w:t>Ethical Stance &amp; Conflict Disclosure</w:t>
      </w:r>
    </w:p>
    <w:p w14:paraId="3DD2CCC3" w14:textId="77777777" w:rsidR="00163701" w:rsidRDefault="0015185E">
      <w:pPr>
        <w:pStyle w:val="Compact"/>
        <w:numPr>
          <w:ilvl w:val="0"/>
          <w:numId w:val="14"/>
        </w:numPr>
      </w:pPr>
      <w:r>
        <w:t xml:space="preserve">We commit to </w:t>
      </w:r>
      <w:r>
        <w:rPr>
          <w:b/>
          <w:bCs/>
        </w:rPr>
        <w:t>publish negative results</w:t>
      </w:r>
      <w:r>
        <w:t>.</w:t>
      </w:r>
      <w:r>
        <w:br/>
      </w:r>
    </w:p>
    <w:p w14:paraId="5B0633FF" w14:textId="77777777" w:rsidR="00163701" w:rsidRDefault="0015185E">
      <w:pPr>
        <w:pStyle w:val="Compact"/>
        <w:numPr>
          <w:ilvl w:val="0"/>
          <w:numId w:val="14"/>
        </w:numPr>
      </w:pPr>
      <w:r>
        <w:t>We will not perform destructive testing without explicit written consent from collections staff.</w:t>
      </w:r>
      <w:r>
        <w:br/>
      </w:r>
    </w:p>
    <w:p w14:paraId="1805B1B4" w14:textId="77777777" w:rsidR="00163701" w:rsidRDefault="0015185E">
      <w:pPr>
        <w:pStyle w:val="Compact"/>
        <w:numPr>
          <w:ilvl w:val="0"/>
          <w:numId w:val="14"/>
        </w:numPr>
      </w:pPr>
      <w:r>
        <w:t>No known conflicts of interest at this time. Funding/affiliations will be disclosed if they arise.</w:t>
      </w:r>
    </w:p>
    <w:p w14:paraId="2D7F07BB" w14:textId="77777777" w:rsidR="00163701" w:rsidRDefault="0015185E">
      <w:r>
        <w:pict w14:anchorId="59F091A9">
          <v:rect id="_x0000_i1035" style="width:0;height:1.5pt" o:hralign="center" o:hrstd="t" o:hr="t"/>
        </w:pict>
      </w:r>
    </w:p>
    <w:p w14:paraId="7D585364" w14:textId="77777777" w:rsidR="00163701" w:rsidRDefault="0015185E">
      <w:pPr>
        <w:pStyle w:val="Heading2"/>
      </w:pPr>
      <w:bookmarkStart w:id="18" w:name="acknowledgments"/>
      <w:bookmarkEnd w:id="17"/>
      <w:r>
        <w:t>Acknowledgments</w:t>
      </w:r>
    </w:p>
    <w:p w14:paraId="408427F4" w14:textId="77777777" w:rsidR="00163701" w:rsidRDefault="0015185E">
      <w:pPr>
        <w:pStyle w:val="FirstParagraph"/>
      </w:pPr>
      <w:r>
        <w:t>We thank collection professionals and conservators whose expertise and stewardship make rigorous tests possible. Any errors or oversights in this document are ours, and we welcome corrections.</w:t>
      </w:r>
    </w:p>
    <w:p w14:paraId="28FD8299" w14:textId="77777777" w:rsidR="00163701" w:rsidRDefault="0015185E">
      <w:r>
        <w:pict w14:anchorId="7D10EDB6">
          <v:rect id="_x0000_i1036" style="width:0;height:1.5pt" o:hralign="center" o:hrstd="t" o:hr="t"/>
        </w:pict>
      </w:r>
    </w:p>
    <w:p w14:paraId="208801F3" w14:textId="77777777" w:rsidR="00163701" w:rsidRDefault="0015185E">
      <w:pPr>
        <w:pStyle w:val="Heading2"/>
      </w:pPr>
      <w:bookmarkStart w:id="19" w:name="Xddab5769b9e93d2b86d3b259c63b824b7eae370"/>
      <w:bookmarkEnd w:id="18"/>
      <w:r>
        <w:t>References (indicative anchors; full bibliography to be compiled post‑permissions)</w:t>
      </w:r>
    </w:p>
    <w:p w14:paraId="1CBF7D01" w14:textId="77777777" w:rsidR="00163701" w:rsidRDefault="0015185E">
      <w:pPr>
        <w:pStyle w:val="Compact"/>
        <w:numPr>
          <w:ilvl w:val="0"/>
          <w:numId w:val="15"/>
        </w:numPr>
      </w:pPr>
      <w:r>
        <w:t>Indus seals &amp; sealings: excavation reports and syntheses by leading Indus scholars.</w:t>
      </w:r>
      <w:r>
        <w:br/>
      </w:r>
    </w:p>
    <w:p w14:paraId="792B4BE7" w14:textId="77777777" w:rsidR="00163701" w:rsidRDefault="0015185E">
      <w:pPr>
        <w:pStyle w:val="Compact"/>
        <w:numPr>
          <w:ilvl w:val="0"/>
          <w:numId w:val="15"/>
        </w:numPr>
      </w:pPr>
      <w:r>
        <w:t>Maya script: standard decipherment literature and overviews.</w:t>
      </w:r>
      <w:r>
        <w:br/>
      </w:r>
    </w:p>
    <w:p w14:paraId="0D0BD422" w14:textId="77777777" w:rsidR="00163701" w:rsidRDefault="0015185E">
      <w:pPr>
        <w:pStyle w:val="Compact"/>
        <w:numPr>
          <w:ilvl w:val="0"/>
          <w:numId w:val="15"/>
        </w:numPr>
      </w:pPr>
      <w:r>
        <w:t>Polynesia ↔ South America contact: recent population genetics and archaeology syntheses.</w:t>
      </w:r>
      <w:r>
        <w:br/>
      </w:r>
    </w:p>
    <w:p w14:paraId="19D5CF88" w14:textId="77777777" w:rsidR="00163701" w:rsidRDefault="0015185E">
      <w:pPr>
        <w:pStyle w:val="Compact"/>
        <w:numPr>
          <w:ilvl w:val="0"/>
          <w:numId w:val="15"/>
        </w:numPr>
      </w:pPr>
      <w:r>
        <w:t>Rongorongo: sign catalogs, typology studies, and recent radiocarbon work.</w:t>
      </w:r>
    </w:p>
    <w:p w14:paraId="3A874A35" w14:textId="77777777" w:rsidR="00163701" w:rsidRDefault="0015185E">
      <w:pPr>
        <w:pStyle w:val="FirstParagraph"/>
      </w:pPr>
      <w:r>
        <w:t>(</w:t>
      </w:r>
      <w:r>
        <w:rPr>
          <w:i/>
          <w:iCs/>
        </w:rPr>
        <w:t>A properly formatted reference list will be inserted after we align museum permissions with citable sources and finalize the corpus list.</w:t>
      </w:r>
      <w:r>
        <w:t>)</w:t>
      </w:r>
    </w:p>
    <w:p w14:paraId="733696C3" w14:textId="77777777" w:rsidR="00163701" w:rsidRDefault="0015185E">
      <w:r>
        <w:lastRenderedPageBreak/>
        <w:pict w14:anchorId="0D7C5FD9">
          <v:rect id="_x0000_i1037" style="width:0;height:1.5pt" o:hralign="center" o:hrstd="t" o:hr="t"/>
        </w:pict>
      </w:r>
    </w:p>
    <w:p w14:paraId="1042A9EF" w14:textId="77777777" w:rsidR="00163701" w:rsidRDefault="0015185E">
      <w:pPr>
        <w:pStyle w:val="Heading2"/>
      </w:pPr>
      <w:bookmarkStart w:id="20" w:name="X888556231bd45e0f28aa266dfbbeb521b0a3204"/>
      <w:bookmarkEnd w:id="19"/>
      <w:r>
        <w:t>Appendix A — Triage Scoring (Technical Summary)</w:t>
      </w:r>
    </w:p>
    <w:p w14:paraId="687DE94C" w14:textId="77777777" w:rsidR="00163701" w:rsidRDefault="0015185E">
      <w:pPr>
        <w:pStyle w:val="FirstParagraph"/>
      </w:pPr>
      <w:r>
        <w:rPr>
          <w:b/>
          <w:bCs/>
        </w:rPr>
        <w:t>Edge extraction:</w:t>
      </w:r>
      <w:r>
        <w:t xml:space="preserve"> grayscale → edge filter → adaptive threshold → sample ≤ 200 edge points.</w:t>
      </w:r>
      <w:r>
        <w:br/>
      </w:r>
      <w:r>
        <w:rPr>
          <w:b/>
          <w:bCs/>
        </w:rPr>
        <w:t>Normalization &amp; alignment:</w:t>
      </w:r>
      <w:r>
        <w:t xml:space="preserve"> scale to unit box; principal‑axis alignment via PCA.</w:t>
      </w:r>
      <w:r>
        <w:br/>
      </w:r>
      <w:r>
        <w:rPr>
          <w:b/>
          <w:bCs/>
        </w:rPr>
        <w:t>Complementarity:</w:t>
      </w:r>
      <w:r>
        <w:t xml:space="preserve"> mirror candidate B in X, compute </w:t>
      </w:r>
      <w:r>
        <w:rPr>
          <w:b/>
          <w:bCs/>
        </w:rPr>
        <w:t>Chamfer distance</w:t>
      </w:r>
      <w:r>
        <w:t xml:space="preserve"> A↔B, convert to score ∈ [0,1].</w:t>
      </w:r>
      <w:r>
        <w:br/>
      </w:r>
      <w:r>
        <w:rPr>
          <w:b/>
          <w:bCs/>
        </w:rPr>
        <w:t>Ranking:</w:t>
      </w:r>
      <w:r>
        <w:t xml:space="preserve"> compute all pairwise scores; export top‑K for vetting; generate overlays (A | mirrored‑B | blended with red/blue edge overlays).</w:t>
      </w:r>
    </w:p>
    <w:p w14:paraId="416C00A5" w14:textId="77777777" w:rsidR="00163701" w:rsidRDefault="0015185E">
      <w:pPr>
        <w:pStyle w:val="BodyText"/>
      </w:pPr>
      <w:r>
        <w:rPr>
          <w:b/>
          <w:bCs/>
        </w:rPr>
        <w:t>Synthetic validation:</w:t>
      </w:r>
      <w:r>
        <w:t xml:space="preserve"> constructed pairs consistently occupy the top ranks, demonstrating the pipeline’s capacity to surface complementary shapes for human review. Real‑world validation remains pending museum access.</w:t>
      </w:r>
    </w:p>
    <w:p w14:paraId="67619354" w14:textId="77777777" w:rsidR="00163701" w:rsidRDefault="0015185E">
      <w:r>
        <w:pict w14:anchorId="7775BDB4">
          <v:rect id="_x0000_i1038" style="width:0;height:1.5pt" o:hralign="center" o:hrstd="t" o:hr="t"/>
        </w:pict>
      </w:r>
    </w:p>
    <w:p w14:paraId="255DF21B" w14:textId="77777777" w:rsidR="00163701" w:rsidRDefault="0015185E">
      <w:pPr>
        <w:pStyle w:val="Heading2"/>
      </w:pPr>
      <w:bookmarkStart w:id="21" w:name="Xc85e2e9a966f42944284d2f710e537c9b58b1e5"/>
      <w:bookmarkEnd w:id="20"/>
      <w:r>
        <w:t>Appendix B — Pre‑Registration (Key Thresholds)</w:t>
      </w:r>
    </w:p>
    <w:p w14:paraId="201DC190" w14:textId="77777777" w:rsidR="00163701" w:rsidRDefault="0015185E">
      <w:pPr>
        <w:pStyle w:val="Compact"/>
        <w:numPr>
          <w:ilvl w:val="0"/>
          <w:numId w:val="16"/>
        </w:numPr>
      </w:pPr>
      <w:r>
        <w:rPr>
          <w:b/>
          <w:bCs/>
        </w:rPr>
        <w:t>T1 (Triage pass):</w:t>
      </w:r>
      <w:r>
        <w:t xml:space="preserve"> score ≥ </w:t>
      </w:r>
      <w:r>
        <w:rPr>
          <w:b/>
          <w:bCs/>
        </w:rPr>
        <w:t>0.82</w:t>
      </w:r>
      <w:r>
        <w:br/>
      </w:r>
    </w:p>
    <w:p w14:paraId="30977D4B" w14:textId="77777777" w:rsidR="00163701" w:rsidRDefault="0015185E">
      <w:pPr>
        <w:pStyle w:val="Compact"/>
        <w:numPr>
          <w:ilvl w:val="0"/>
          <w:numId w:val="16"/>
        </w:numPr>
      </w:pPr>
      <w:r>
        <w:rPr>
          <w:b/>
          <w:bCs/>
        </w:rPr>
        <w:t>T2 (3D pass):</w:t>
      </w:r>
      <w:r>
        <w:t xml:space="preserve"> RMS ≤ </w:t>
      </w:r>
      <w:r>
        <w:rPr>
          <w:b/>
          <w:bCs/>
        </w:rPr>
        <w:t>0.15 mm</w:t>
      </w:r>
      <w:r>
        <w:t xml:space="preserve"> and </w:t>
      </w:r>
      <w:r>
        <w:rPr>
          <w:b/>
          <w:bCs/>
        </w:rPr>
        <w:t>BF ≥ 10</w:t>
      </w:r>
      <w:r>
        <w:t xml:space="preserve"> vs null</w:t>
      </w:r>
      <w:r>
        <w:br/>
      </w:r>
    </w:p>
    <w:p w14:paraId="3EAE60C4" w14:textId="77777777" w:rsidR="00163701" w:rsidRDefault="0015185E">
      <w:pPr>
        <w:pStyle w:val="Compact"/>
        <w:numPr>
          <w:ilvl w:val="0"/>
          <w:numId w:val="16"/>
        </w:numPr>
      </w:pPr>
      <w:r>
        <w:rPr>
          <w:b/>
          <w:bCs/>
        </w:rPr>
        <w:t>Chemistry:</w:t>
      </w:r>
      <w:r>
        <w:t xml:space="preserve"> adhesive/resin signature on </w:t>
      </w:r>
      <w:r>
        <w:rPr>
          <w:b/>
          <w:bCs/>
        </w:rPr>
        <w:t>both mating faces</w:t>
      </w:r>
      <w:r>
        <w:t>, absent on non‑mating controls (FDR ≤ 5%)</w:t>
      </w:r>
      <w:r>
        <w:br/>
      </w:r>
    </w:p>
    <w:p w14:paraId="42C313B9" w14:textId="77777777" w:rsidR="00163701" w:rsidRDefault="0015185E">
      <w:pPr>
        <w:pStyle w:val="Compact"/>
        <w:numPr>
          <w:ilvl w:val="0"/>
          <w:numId w:val="16"/>
        </w:numPr>
      </w:pPr>
      <w:r>
        <w:rPr>
          <w:b/>
          <w:bCs/>
        </w:rPr>
        <w:t>Context:</w:t>
      </w:r>
      <w:r>
        <w:t xml:space="preserve"> co‑occurrence/ledger linkage</w:t>
      </w:r>
      <w:r>
        <w:br/>
      </w:r>
    </w:p>
    <w:p w14:paraId="50D875D9" w14:textId="77777777" w:rsidR="00163701" w:rsidRDefault="0015185E">
      <w:pPr>
        <w:pStyle w:val="Compact"/>
        <w:numPr>
          <w:ilvl w:val="0"/>
          <w:numId w:val="16"/>
        </w:numPr>
      </w:pPr>
      <w:r>
        <w:rPr>
          <w:b/>
          <w:bCs/>
        </w:rPr>
        <w:t>Contradiction check:</w:t>
      </w:r>
      <w:r>
        <w:t xml:space="preserve"> lack of matching half‑impressions among known clay sealings</w:t>
      </w:r>
    </w:p>
    <w:p w14:paraId="1B2DF747" w14:textId="77777777" w:rsidR="00163701" w:rsidRDefault="0015185E">
      <w:r>
        <w:pict w14:anchorId="7AFB933B">
          <v:rect id="_x0000_i1039" style="width:0;height:1.5pt" o:hralign="center" o:hrstd="t" o:hr="t"/>
        </w:pict>
      </w:r>
    </w:p>
    <w:p w14:paraId="4D74126B" w14:textId="77777777" w:rsidR="00163701" w:rsidRDefault="0015185E">
      <w:pPr>
        <w:pStyle w:val="FirstParagraph"/>
      </w:pPr>
      <w:r>
        <w:rPr>
          <w:i/>
          <w:iCs/>
        </w:rPr>
        <w:t>Contact:</w:t>
      </w:r>
      <w:r>
        <w:t xml:space="preserve"> [Your email]</w:t>
      </w:r>
      <w:r>
        <w:br/>
      </w:r>
      <w:r>
        <w:rPr>
          <w:i/>
          <w:iCs/>
        </w:rPr>
        <w:t>Project page / repository:</w:t>
      </w:r>
      <w:r>
        <w:t xml:space="preserve"> [Link to be added]</w:t>
      </w:r>
      <w:bookmarkEnd w:id="0"/>
      <w:bookmarkEnd w:id="21"/>
    </w:p>
    <w:sectPr w:rsidR="0016370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A52A2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49CCC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2F61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50364239">
    <w:abstractNumId w:val="0"/>
  </w:num>
  <w:num w:numId="2" w16cid:durableId="2125076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62693">
    <w:abstractNumId w:val="1"/>
  </w:num>
  <w:num w:numId="4" w16cid:durableId="286471078">
    <w:abstractNumId w:val="1"/>
  </w:num>
  <w:num w:numId="5" w16cid:durableId="73671544">
    <w:abstractNumId w:val="1"/>
  </w:num>
  <w:num w:numId="6" w16cid:durableId="999388315">
    <w:abstractNumId w:val="1"/>
  </w:num>
  <w:num w:numId="7" w16cid:durableId="876351765">
    <w:abstractNumId w:val="1"/>
  </w:num>
  <w:num w:numId="8" w16cid:durableId="362361921">
    <w:abstractNumId w:val="1"/>
  </w:num>
  <w:num w:numId="9" w16cid:durableId="1203245556">
    <w:abstractNumId w:val="1"/>
  </w:num>
  <w:num w:numId="10" w16cid:durableId="660815772">
    <w:abstractNumId w:val="1"/>
  </w:num>
  <w:num w:numId="11" w16cid:durableId="730075798">
    <w:abstractNumId w:val="1"/>
  </w:num>
  <w:num w:numId="12" w16cid:durableId="938829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8237355">
    <w:abstractNumId w:val="1"/>
  </w:num>
  <w:num w:numId="14" w16cid:durableId="684479823">
    <w:abstractNumId w:val="1"/>
  </w:num>
  <w:num w:numId="15" w16cid:durableId="1173570040">
    <w:abstractNumId w:val="1"/>
  </w:num>
  <w:num w:numId="16" w16cid:durableId="5297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01"/>
    <w:rsid w:val="0015185E"/>
    <w:rsid w:val="00163701"/>
    <w:rsid w:val="00212377"/>
    <w:rsid w:val="0045006F"/>
    <w:rsid w:val="0091735D"/>
    <w:rsid w:val="00955607"/>
    <w:rsid w:val="00B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B41C871"/>
  <w15:docId w15:val="{C36E5DC4-53B9-4EBF-BF46-1A127692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1594</Words>
  <Characters>9946</Characters>
  <Application>Microsoft Office Word</Application>
  <DocSecurity>0</DocSecurity>
  <Lines>238</Lines>
  <Paragraphs>98</Paragraphs>
  <ScaleCrop>false</ScaleCrop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obrien</dc:creator>
  <cp:keywords/>
  <cp:lastModifiedBy>eric obrien</cp:lastModifiedBy>
  <cp:revision>3</cp:revision>
  <dcterms:created xsi:type="dcterms:W3CDTF">2025-10-08T00:57:00Z</dcterms:created>
  <dcterms:modified xsi:type="dcterms:W3CDTF">2025-10-08T00:57:00Z</dcterms:modified>
</cp:coreProperties>
</file>