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Aeonix — Backlink &amp; PR Outreach Kit</w:t>
      </w:r>
    </w:p>
    <w:p>
      <w:pPr>
        <w:spacing w:after="160"/>
      </w:pPr>
      <w:r>
        <w:rPr>
          <w:i/>
          <w:iCs/>
          <w:color w:val="6B6457"/>
        </w:rPr>
        <w:t xml:space="preserve">Directory targets and press-outreach templates — prepared 2026-08-03 for AllesHealth GmbH.</w:t>
      </w:r>
    </w:p>
    <w:p>
      <w:pPr>
        <w:pBdr>
          <w:left w:val="single" w:color="B8864E" w:sz="12" w:space="8"/>
        </w:pBdr>
        <w:spacing w:after="200"/>
      </w:pPr>
      <w:r>
        <w:rPr>
          <w:i/>
          <w:iCs/>
          <w:color w:val="6B6457"/>
          <w:sz w:val="20"/>
          <w:szCs w:val="20"/>
        </w:rPr>
        <w:t xml:space="preserve">These are legitimate, earn-able placements — real directory profiles and genuine press outreach — not automated link placement. Bulk or artificial backlink schemes (directory blasts, comment spam, link exchanges) are against Google's guidelines and can hurt rankings rather than help them, so they're intentionally not included here.</w:t>
      </w:r>
    </w:p>
    <w:p>
      <w:pPr>
        <w:pStyle w:val="Heading1"/>
        <w:spacing w:after="160" w:before="300"/>
      </w:pPr>
      <w:r>
        <w:t xml:space="preserve">Part 1 — Directory &amp; Profile Targets</w:t>
      </w:r>
    </w:p>
    <w:p>
      <w:pPr>
        <w:spacing w:after="160"/>
      </w:pPr>
      <w:r>
        <w:t xml:space="preserve">Your own competitive research already found that Crunchbase, LinkedIn, and startupticker.ch currently outrank aeonix.ch for your own company name — meaning these profiles likely exist but are incomplete. Claiming and completing them is the fastest, lowest-risk backlink win available right now.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600"/>
      </w:tblGrid>
      <w:tr>
        <w:tc>
          <w:tcPr>
            <w:tcW w:type="dxa" w:w="2000"/>
            <w:shd w:fill="F0EDE8" w:color="auto" w:val="clear"/>
          </w:tcPr>
          <w:p>
            <w:r>
              <w:rPr>
                <w:b/>
                <w:bCs/>
                <w:sz w:val="20"/>
                <w:szCs w:val="20"/>
              </w:rPr>
              <w:t xml:space="preserve">Platform</w:t>
            </w:r>
          </w:p>
        </w:tc>
        <w:tc>
          <w:tcPr>
            <w:tcW w:type="dxa" w:w="1600"/>
            <w:shd w:fill="F0EDE8" w:color="auto" w:val="clear"/>
          </w:tcPr>
          <w:p>
            <w:r>
              <w:rPr>
                <w:b/>
                <w:bCs/>
                <w:sz w:val="20"/>
                <w:szCs w:val="20"/>
              </w:rPr>
              <w:t xml:space="preserve">Category</w:t>
            </w:r>
          </w:p>
        </w:tc>
        <w:tc>
          <w:tcPr>
            <w:tcW w:type="dxa" w:w="3200"/>
            <w:shd w:fill="F0EDE8" w:color="auto" w:val="clear"/>
          </w:tcPr>
          <w:p>
            <w:r>
              <w:rPr>
                <w:b/>
                <w:bCs/>
                <w:sz w:val="20"/>
                <w:szCs w:val="20"/>
              </w:rPr>
              <w:t xml:space="preserve">Why it matters</w:t>
            </w:r>
          </w:p>
        </w:tc>
        <w:tc>
          <w:tcPr>
            <w:tcW w:type="dxa" w:w="2600"/>
            <w:shd w:fill="F0EDE8" w:color="auto" w:val="clear"/>
          </w:tcPr>
          <w:p>
            <w:r>
              <w:rPr>
                <w:b/>
                <w:bCs/>
                <w:sz w:val="20"/>
                <w:szCs w:val="20"/>
              </w:rPr>
              <w:t xml:space="preserve">Action needed</w:t>
            </w:r>
          </w:p>
        </w:tc>
      </w:tr>
      <w:tr>
        <w:tc>
          <w:tcPr>
            <w:tcW w:type="dxa" w:w="2000"/>
          </w:tcPr>
          <w:p>
            <w:r>
              <w:rPr>
                <w:b w:val="false"/>
                <w:bCs w:val="false"/>
                <w:sz w:val="20"/>
                <w:szCs w:val="20"/>
              </w:rPr>
              <w:t xml:space="preserve">Crunchbase (crunchbase.com)</w:t>
            </w:r>
          </w:p>
        </w:tc>
        <w:tc>
          <w:tcPr>
            <w:tcW w:type="dxa" w:w="1600"/>
          </w:tcPr>
          <w:p>
            <w:r>
              <w:rPr>
                <w:b w:val="false"/>
                <w:bCs w:val="false"/>
                <w:sz w:val="20"/>
                <w:szCs w:val="20"/>
              </w:rPr>
              <w:t xml:space="preserve">Startup database</w:t>
            </w:r>
          </w:p>
        </w:tc>
        <w:tc>
          <w:tcPr>
            <w:tcW w:type="dxa" w:w="3200"/>
          </w:tcPr>
          <w:p>
            <w:r>
              <w:rPr>
                <w:b w:val="false"/>
                <w:bCs w:val="false"/>
                <w:sz w:val="20"/>
                <w:szCs w:val="20"/>
              </w:rPr>
              <w:t xml:space="preserve">Already outranks aeonix.ch for the "AllesHealth GmbH" search per your own keyword research — profile likely exists but is thin.</w:t>
            </w:r>
          </w:p>
        </w:tc>
        <w:tc>
          <w:tcPr>
            <w:tcW w:type="dxa" w:w="2600"/>
          </w:tcPr>
          <w:p>
            <w:r>
              <w:rPr>
                <w:b w:val="false"/>
                <w:bCs w:val="false"/>
                <w:sz w:val="20"/>
                <w:szCs w:val="20"/>
              </w:rPr>
              <w:t xml:space="preserve">Claim/complete: description, team, funding status, link to aeonix.ch.</w:t>
            </w:r>
          </w:p>
        </w:tc>
      </w:tr>
      <w:tr>
        <w:tc>
          <w:tcPr>
            <w:tcW w:type="dxa" w:w="2000"/>
          </w:tcPr>
          <w:p>
            <w:r>
              <w:rPr>
                <w:b w:val="false"/>
                <w:bCs w:val="false"/>
                <w:sz w:val="20"/>
                <w:szCs w:val="20"/>
              </w:rPr>
              <w:t xml:space="preserve">LinkedIn Company Page</w:t>
            </w:r>
          </w:p>
        </w:tc>
        <w:tc>
          <w:tcPr>
            <w:tcW w:type="dxa" w:w="1600"/>
          </w:tcPr>
          <w:p>
            <w:r>
              <w:rPr>
                <w:b w:val="false"/>
                <w:bCs w:val="false"/>
                <w:sz w:val="20"/>
                <w:szCs w:val="20"/>
              </w:rPr>
              <w:t xml:space="preserve">Professional network</w:t>
            </w:r>
          </w:p>
        </w:tc>
        <w:tc>
          <w:tcPr>
            <w:tcW w:type="dxa" w:w="3200"/>
          </w:tcPr>
          <w:p>
            <w:r>
              <w:rPr>
                <w:b w:val="false"/>
                <w:bCs w:val="false"/>
                <w:sz w:val="20"/>
                <w:szCs w:val="20"/>
              </w:rPr>
              <w:t xml:space="preserve">Ranks highly on its own and is widely cited by AI assistants when asked about a company.</w:t>
            </w:r>
          </w:p>
        </w:tc>
        <w:tc>
          <w:tcPr>
            <w:tcW w:type="dxa" w:w="2600"/>
          </w:tcPr>
          <w:p>
            <w:r>
              <w:rPr>
                <w:b w:val="false"/>
                <w:bCs w:val="false"/>
                <w:sz w:val="20"/>
                <w:szCs w:val="20"/>
              </w:rPr>
              <w:t xml:space="preserve">Complete About section, add languages, link to aeonix.ch, post regularly.</w:t>
            </w:r>
          </w:p>
        </w:tc>
      </w:tr>
      <w:tr>
        <w:tc>
          <w:tcPr>
            <w:tcW w:type="dxa" w:w="2000"/>
          </w:tcPr>
          <w:p>
            <w:r>
              <w:rPr>
                <w:b w:val="false"/>
                <w:bCs w:val="false"/>
                <w:sz w:val="20"/>
                <w:szCs w:val="20"/>
              </w:rPr>
              <w:t xml:space="preserve">startupticker.ch</w:t>
            </w:r>
          </w:p>
        </w:tc>
        <w:tc>
          <w:tcPr>
            <w:tcW w:type="dxa" w:w="1600"/>
          </w:tcPr>
          <w:p>
            <w:r>
              <w:rPr>
                <w:b w:val="false"/>
                <w:bCs w:val="false"/>
                <w:sz w:val="20"/>
                <w:szCs w:val="20"/>
              </w:rPr>
              <w:t xml:space="preserve">Swiss startup news &amp; database</w:t>
            </w:r>
          </w:p>
        </w:tc>
        <w:tc>
          <w:tcPr>
            <w:tcW w:type="dxa" w:w="3200"/>
          </w:tcPr>
          <w:p>
            <w:r>
              <w:rPr>
                <w:b w:val="false"/>
                <w:bCs w:val="false"/>
                <w:sz w:val="20"/>
                <w:szCs w:val="20"/>
              </w:rPr>
              <w:t xml:space="preserve">Swiss-specific, high domestic authority — the reference database for CH startups.</w:t>
            </w:r>
          </w:p>
        </w:tc>
        <w:tc>
          <w:tcPr>
            <w:tcW w:type="dxa" w:w="2600"/>
          </w:tcPr>
          <w:p>
            <w:r>
              <w:rPr>
                <w:b w:val="false"/>
                <w:bCs w:val="false"/>
                <w:sz w:val="20"/>
                <w:szCs w:val="20"/>
              </w:rPr>
              <w:t xml:space="preserve">Submit or update the company listing.</w:t>
            </w:r>
          </w:p>
        </w:tc>
      </w:tr>
      <w:tr>
        <w:tc>
          <w:tcPr>
            <w:tcW w:type="dxa" w:w="2000"/>
          </w:tcPr>
          <w:p>
            <w:r>
              <w:rPr>
                <w:b w:val="false"/>
                <w:bCs w:val="false"/>
                <w:sz w:val="20"/>
                <w:szCs w:val="20"/>
              </w:rPr>
              <w:t xml:space="preserve">Swiss Medtech (swiss-medtech.ch)</w:t>
            </w:r>
          </w:p>
        </w:tc>
        <w:tc>
          <w:tcPr>
            <w:tcW w:type="dxa" w:w="1600"/>
          </w:tcPr>
          <w:p>
            <w:r>
              <w:rPr>
                <w:b w:val="false"/>
                <w:bCs w:val="false"/>
                <w:sz w:val="20"/>
                <w:szCs w:val="20"/>
              </w:rPr>
              <w:t xml:space="preserve">Industry association</w:t>
            </w:r>
          </w:p>
        </w:tc>
        <w:tc>
          <w:tcPr>
            <w:tcW w:type="dxa" w:w="3200"/>
          </w:tcPr>
          <w:p>
            <w:r>
              <w:rPr>
                <w:b w:val="false"/>
                <w:bCs w:val="false"/>
                <w:sz w:val="20"/>
                <w:szCs w:val="20"/>
              </w:rPr>
              <w:t xml:space="preserve">Switzerland's official medtech/health-tech body — strong topical authority for a health-screening company.</w:t>
            </w:r>
          </w:p>
        </w:tc>
        <w:tc>
          <w:tcPr>
            <w:tcW w:type="dxa" w:w="2600"/>
          </w:tcPr>
          <w:p>
            <w:r>
              <w:rPr>
                <w:b w:val="false"/>
                <w:bCs w:val="false"/>
                <w:sz w:val="20"/>
                <w:szCs w:val="20"/>
              </w:rPr>
              <w:t xml:space="preserve">Check membership eligibility and directory listing.</w:t>
            </w:r>
          </w:p>
        </w:tc>
      </w:tr>
      <w:tr>
        <w:tc>
          <w:tcPr>
            <w:tcW w:type="dxa" w:w="2000"/>
          </w:tcPr>
          <w:p>
            <w:r>
              <w:rPr>
                <w:b w:val="false"/>
                <w:bCs w:val="false"/>
                <w:sz w:val="20"/>
                <w:szCs w:val="20"/>
              </w:rPr>
              <w:t xml:space="preserve">SECA (seca.ch)</w:t>
            </w:r>
          </w:p>
        </w:tc>
        <w:tc>
          <w:tcPr>
            <w:tcW w:type="dxa" w:w="1600"/>
          </w:tcPr>
          <w:p>
            <w:r>
              <w:rPr>
                <w:b w:val="false"/>
                <w:bCs w:val="false"/>
                <w:sz w:val="20"/>
                <w:szCs w:val="20"/>
              </w:rPr>
              <w:t xml:space="preserve">Private equity / corporate finance association</w:t>
            </w:r>
          </w:p>
        </w:tc>
        <w:tc>
          <w:tcPr>
            <w:tcW w:type="dxa" w:w="3200"/>
          </w:tcPr>
          <w:p>
            <w:r>
              <w:rPr>
                <w:b w:val="false"/>
                <w:bCs w:val="false"/>
                <w:sz w:val="20"/>
                <w:szCs w:val="20"/>
              </w:rPr>
              <w:t xml:space="preserve">Relevant if you're building investor-facing visibility.</w:t>
            </w:r>
          </w:p>
        </w:tc>
        <w:tc>
          <w:tcPr>
            <w:tcW w:type="dxa" w:w="2600"/>
          </w:tcPr>
          <w:p>
            <w:r>
              <w:rPr>
                <w:b w:val="false"/>
                <w:bCs w:val="false"/>
                <w:sz w:val="20"/>
                <w:szCs w:val="20"/>
              </w:rPr>
              <w:t xml:space="preserve">Membership directory listing, if applicable.</w:t>
            </w:r>
          </w:p>
        </w:tc>
      </w:tr>
      <w:tr>
        <w:tc>
          <w:tcPr>
            <w:tcW w:type="dxa" w:w="2000"/>
          </w:tcPr>
          <w:p>
            <w:r>
              <w:rPr>
                <w:b w:val="false"/>
                <w:bCs w:val="false"/>
                <w:sz w:val="20"/>
                <w:szCs w:val="20"/>
              </w:rPr>
              <w:t xml:space="preserve">F6S / Tracxn / GetLatka</w:t>
            </w:r>
          </w:p>
        </w:tc>
        <w:tc>
          <w:tcPr>
            <w:tcW w:type="dxa" w:w="1600"/>
          </w:tcPr>
          <w:p>
            <w:r>
              <w:rPr>
                <w:b w:val="false"/>
                <w:bCs w:val="false"/>
                <w:sz w:val="20"/>
                <w:szCs w:val="20"/>
              </w:rPr>
              <w:t xml:space="preserve">General startup databases</w:t>
            </w:r>
          </w:p>
        </w:tc>
        <w:tc>
          <w:tcPr>
            <w:tcW w:type="dxa" w:w="3200"/>
          </w:tcPr>
          <w:p>
            <w:r>
              <w:rPr>
                <w:b w:val="false"/>
                <w:bCs w:val="false"/>
                <w:sz w:val="20"/>
                <w:szCs w:val="20"/>
              </w:rPr>
              <w:t xml:space="preserve">Decent domain authority, low effort to claim.</w:t>
            </w:r>
          </w:p>
        </w:tc>
        <w:tc>
          <w:tcPr>
            <w:tcW w:type="dxa" w:w="2600"/>
          </w:tcPr>
          <w:p>
            <w:r>
              <w:rPr>
                <w:b w:val="false"/>
                <w:bCs w:val="false"/>
                <w:sz w:val="20"/>
                <w:szCs w:val="20"/>
              </w:rPr>
              <w:t xml:space="preserve">Create or claim a free company profile.</w:t>
            </w:r>
          </w:p>
        </w:tc>
      </w:tr>
      <w:tr>
        <w:tc>
          <w:tcPr>
            <w:tcW w:type="dxa" w:w="2000"/>
          </w:tcPr>
          <w:p>
            <w:r>
              <w:rPr>
                <w:b w:val="false"/>
                <w:bCs w:val="false"/>
                <w:sz w:val="20"/>
                <w:szCs w:val="20"/>
              </w:rPr>
              <w:t xml:space="preserve">Longevity.Technology directory / Longevity List</w:t>
            </w:r>
          </w:p>
        </w:tc>
        <w:tc>
          <w:tcPr>
            <w:tcW w:type="dxa" w:w="1600"/>
          </w:tcPr>
          <w:p>
            <w:r>
              <w:rPr>
                <w:b w:val="false"/>
                <w:bCs w:val="false"/>
                <w:sz w:val="20"/>
                <w:szCs w:val="20"/>
              </w:rPr>
              <w:t xml:space="preserve">Longevity industry press &amp; directory</w:t>
            </w:r>
          </w:p>
        </w:tc>
        <w:tc>
          <w:tcPr>
            <w:tcW w:type="dxa" w:w="3200"/>
          </w:tcPr>
          <w:p>
            <w:r>
              <w:rPr>
                <w:b w:val="false"/>
                <w:bCs w:val="false"/>
                <w:sz w:val="20"/>
                <w:szCs w:val="20"/>
              </w:rPr>
              <w:t xml:space="preserve">Direct topical match to Aeonix's biomarker/longevity positioning.</w:t>
            </w:r>
          </w:p>
        </w:tc>
        <w:tc>
          <w:tcPr>
            <w:tcW w:type="dxa" w:w="2600"/>
          </w:tcPr>
          <w:p>
            <w:r>
              <w:rPr>
                <w:b w:val="false"/>
                <w:bCs w:val="false"/>
                <w:sz w:val="20"/>
                <w:szCs w:val="20"/>
              </w:rPr>
              <w:t xml:space="preserve">Submit a company listing.</w:t>
            </w:r>
          </w:p>
        </w:tc>
      </w:tr>
      <w:tr>
        <w:tc>
          <w:tcPr>
            <w:tcW w:type="dxa" w:w="2000"/>
          </w:tcPr>
          <w:p>
            <w:r>
              <w:rPr>
                <w:b w:val="false"/>
                <w:bCs w:val="false"/>
                <w:sz w:val="20"/>
                <w:szCs w:val="20"/>
              </w:rPr>
              <w:t xml:space="preserve">Expatica Switzerland / InterNations Switzerland</w:t>
            </w:r>
          </w:p>
        </w:tc>
        <w:tc>
          <w:tcPr>
            <w:tcW w:type="dxa" w:w="1600"/>
          </w:tcPr>
          <w:p>
            <w:r>
              <w:rPr>
                <w:b w:val="false"/>
                <w:bCs w:val="false"/>
                <w:sz w:val="20"/>
                <w:szCs w:val="20"/>
              </w:rPr>
              <w:t xml:space="preserve">Expat resource sites</w:t>
            </w:r>
          </w:p>
        </w:tc>
        <w:tc>
          <w:tcPr>
            <w:tcW w:type="dxa" w:w="3200"/>
          </w:tcPr>
          <w:p>
            <w:r>
              <w:rPr>
                <w:b w:val="false"/>
                <w:bCs w:val="false"/>
                <w:sz w:val="20"/>
                <w:szCs w:val="20"/>
              </w:rPr>
              <w:t xml:space="preserve">Matches your expat-health-screening content and Geneva's international-organisation audience.</w:t>
            </w:r>
          </w:p>
        </w:tc>
        <w:tc>
          <w:tcPr>
            <w:tcW w:type="dxa" w:w="2600"/>
          </w:tcPr>
          <w:p>
            <w:r>
              <w:rPr>
                <w:b w:val="false"/>
                <w:bCs w:val="false"/>
                <w:sz w:val="20"/>
                <w:szCs w:val="20"/>
              </w:rPr>
              <w:t xml:space="preserve">Explore a resource-page mention or sponsored listing.</w:t>
            </w:r>
          </w:p>
        </w:tc>
      </w:tr>
      <w:tr>
        <w:tc>
          <w:tcPr>
            <w:tcW w:type="dxa" w:w="2000"/>
          </w:tcPr>
          <w:p>
            <w:r>
              <w:rPr>
                <w:b w:val="false"/>
                <w:bCs w:val="false"/>
                <w:sz w:val="20"/>
                <w:szCs w:val="20"/>
              </w:rPr>
              <w:t xml:space="preserve">local.ch / search.ch</w:t>
            </w:r>
          </w:p>
        </w:tc>
        <w:tc>
          <w:tcPr>
            <w:tcW w:type="dxa" w:w="1600"/>
          </w:tcPr>
          <w:p>
            <w:r>
              <w:rPr>
                <w:b w:val="false"/>
                <w:bCs w:val="false"/>
                <w:sz w:val="20"/>
                <w:szCs w:val="20"/>
              </w:rPr>
              <w:t xml:space="preserve">Swiss business directories</w:t>
            </w:r>
          </w:p>
        </w:tc>
        <w:tc>
          <w:tcPr>
            <w:tcW w:type="dxa" w:w="3200"/>
          </w:tcPr>
          <w:p>
            <w:r>
              <w:rPr>
                <w:b w:val="false"/>
                <w:bCs w:val="false"/>
                <w:sz w:val="20"/>
                <w:szCs w:val="20"/>
              </w:rPr>
              <w:t xml:space="preserve">Baseline local citations; consistency of name/address/phone matters for local SEO.</w:t>
            </w:r>
          </w:p>
        </w:tc>
        <w:tc>
          <w:tcPr>
            <w:tcW w:type="dxa" w:w="2600"/>
          </w:tcPr>
          <w:p>
            <w:r>
              <w:rPr>
                <w:b w:val="false"/>
                <w:bCs w:val="false"/>
                <w:sz w:val="20"/>
                <w:szCs w:val="20"/>
              </w:rPr>
              <w:t xml:space="preserve">Create or verify listing, matching site NAP exactly.</w:t>
            </w:r>
          </w:p>
        </w:tc>
      </w:tr>
    </w:tbl>
    <w:p>
      <w:pPr>
        <w:spacing w:after="200"/>
      </w:pPr>
    </w:p>
    <w:p>
      <w:pPr>
        <w:pBdr>
          <w:left w:val="single" w:color="B8864E" w:sz="12" w:space="8"/>
        </w:pBdr>
        <w:spacing w:after="200"/>
      </w:pPr>
      <w:r>
        <w:rPr>
          <w:i/>
          <w:iCs/>
          <w:color w:val="6B6457"/>
          <w:sz w:val="20"/>
          <w:szCs w:val="20"/>
        </w:rPr>
        <w:t xml:space="preserve">I don't have live web access in this session to confirm current submission steps or verify which of these Aeonix is already listed on — treat this as a starting shortlist to check and action, not a guarantee of placement.</w:t>
      </w:r>
    </w:p>
    <w:p>
      <w:r>
        <w:br w:type="page"/>
      </w:r>
    </w:p>
    <w:p>
      <w:pPr>
        <w:pStyle w:val="Heading1"/>
        <w:spacing w:after="160" w:before="300"/>
      </w:pPr>
      <w:r>
        <w:t xml:space="preserve">Part 2 — PR &amp; Press Outreach</w:t>
      </w:r>
    </w:p>
    <w:p>
      <w:pPr>
        <w:pStyle w:val="Heading2"/>
        <w:spacing w:after="120" w:before="260"/>
      </w:pPr>
      <w:r>
        <w:t xml:space="preserve">Story angles</w:t>
      </w:r>
    </w:p>
    <w:p>
      <w:pPr>
        <w:pStyle w:val="ListParagraph"/>
        <w:numPr>
          <w:ilvl w:val="0"/>
          <w:numId w:val="2"/>
        </w:numPr>
        <w:spacing w:after="80"/>
      </w:pPr>
      <w:r>
        <w:t xml:space="preserve">Executive health screening expansion across Zürich, Zug, Basel, and Geneva — a concrete, timely news hook.</w:t>
      </w:r>
    </w:p>
    <w:p>
      <w:pPr>
        <w:pStyle w:val="ListParagraph"/>
        <w:numPr>
          <w:ilvl w:val="0"/>
          <w:numId w:val="2"/>
        </w:numPr>
        <w:spacing w:after="80"/>
      </w:pPr>
      <w:r>
        <w:t xml:space="preserve">Longevity / preventive-health trend commentary — position AllesHealth as a source for Swiss preventive-medicine perspective.</w:t>
      </w:r>
    </w:p>
    <w:p>
      <w:pPr>
        <w:pStyle w:val="ListParagraph"/>
        <w:numPr>
          <w:ilvl w:val="0"/>
          <w:numId w:val="2"/>
        </w:numPr>
        <w:spacing w:after="80"/>
      </w:pPr>
      <w:r>
        <w:t xml:space="preserve">The gap between standard Swiss GP check-ups and biomarker testing — a recurring theme across your own content strategy.</w:t>
      </w:r>
    </w:p>
    <w:p>
      <w:pPr>
        <w:pStyle w:val="Heading2"/>
        <w:spacing w:after="120" w:before="260"/>
      </w:pPr>
      <w:r>
        <w:t xml:space="preserve">Press release draft</w:t>
      </w:r>
    </w:p>
    <w:p>
      <w:pPr>
        <w:spacing w:after="160"/>
      </w:pPr>
      <w:r>
        <w:rPr>
          <w:b/>
          <w:bCs/>
          <w:color w:val="6B6457"/>
          <w:sz w:val="20"/>
          <w:szCs w:val="20"/>
        </w:rPr>
        <w:t xml:space="preserve">FOR IMMEDIATE RELEASE</w:t>
      </w:r>
    </w:p>
    <w:p>
      <w:pPr>
        <w:spacing w:after="160"/>
      </w:pPr>
      <w:r>
        <w:rPr>
          <w:b/>
          <w:bCs/>
          <w:sz w:val="26"/>
          <w:szCs w:val="26"/>
        </w:rPr>
        <w:t xml:space="preserve">Aeonix Expands Preventive Health Screening With Executive-Focused Programmes for Zürich, Zug, Basel, and Geneva</w:t>
      </w:r>
    </w:p>
    <w:p>
      <w:pPr>
        <w:spacing w:after="160"/>
      </w:pPr>
      <w:r>
        <w:rPr>
          <w:i/>
          <w:iCs/>
          <w:color w:val="6B6457"/>
        </w:rPr>
        <w:t xml:space="preserve">Swiss direct-access blood screening service adds dedicated content and screening guidance for finance, Crypto Valley, pharmaceutical, and international-organisation professionals across four languages.</w:t>
      </w:r>
    </w:p>
    <w:p>
      <w:pPr>
        <w:spacing w:after="160"/>
      </w:pPr>
      <w:r>
        <w:t xml:space="preserve">ZÜRICH, Switzerland — [DATE] — Aeonix, a Swiss direct-access preventive health screening service operated by AllesHealth GmbH, today announced expanded, city-specific screening guidance for executives and professionals in four of Switzerland's key business hubs: Zürich, Zug, Basel, and Geneva.</w:t>
      </w:r>
    </w:p>
    <w:p>
      <w:pPr>
        <w:spacing w:after="160"/>
      </w:pPr>
      <w:r>
        <w:t xml:space="preserve">Aeonix offers comprehensive blood panels of 90 to 150+ biomarkers without requiring a GP referral, with physician-reviewed results delivered digitally within 48 hours. The service is available in English, German, French, and Italian, and operates on an annual subscription model that allows for year-over-year biomarker tracking — a departure from the one-time check-up model common among many Swiss preventive health providers.</w:t>
      </w:r>
    </w:p>
    <w:p>
      <w:pPr>
        <w:spacing w:after="160"/>
      </w:pPr>
      <w:r>
        <w:t xml:space="preserve">The new city-specific programmes address distinct professional populations: finance and banking leadership in Zürich, the Crypto Valley and commodity-trading community in Zug, pharmaceutical and life-sciences executives in Basel, and international-organisation and private-banking professionals in Geneva.</w:t>
      </w:r>
    </w:p>
    <w:p>
      <w:pPr>
        <w:spacing w:after="160"/>
      </w:pPr>
      <w:r>
        <w:t xml:space="preserve">“[Quote from founder/spokesperson to be inserted here — e.g., on why standard Swiss GP check-ups miss key biomarkers for high-stress executive populations, or on the rationale for the subscription/tracking model.]”</w:t>
      </w:r>
    </w:p>
    <w:p>
      <w:pPr>
        <w:spacing w:after="160"/>
      </w:pPr>
      <w:r>
        <w:t xml:space="preserve">Aeonix's screening plans range from CHF 595 to CHF 1,295 per year, covering cardiovascular, metabolic, hormonal, and nutritional biomarker domains, including several markers — such as ApoB, Lp(a), and HOMA-IR — that are not part of routine Swiss GP check-ups. Testing is processed through accredited Swiss partner laboratories, with results stored in Switzerland in compliance with GDPR and the Swiss Federal Act on Data Protection (nDSG).</w:t>
      </w:r>
    </w:p>
    <w:p>
      <w:pPr>
        <w:spacing w:after="160"/>
      </w:pPr>
      <w:r>
        <w:rPr>
          <w:b/>
          <w:bCs/>
        </w:rPr>
        <w:t xml:space="preserve">About AllesHealth GmbH</w:t>
      </w:r>
    </w:p>
    <w:p>
      <w:pPr>
        <w:spacing w:after="160"/>
      </w:pPr>
      <w:r>
        <w:t xml:space="preserve">AllesHealth GmbH is a Swiss health technology company based in Zürich, operating in the preventive health and digital health space. Its flagship service, Aeonix, provides direct-access preventive blood screening across Switzerland. More information is available at aeonix.ch.</w:t>
      </w:r>
    </w:p>
    <w:p>
      <w:pPr>
        <w:spacing w:after="160"/>
      </w:pPr>
      <w:r>
        <w:rPr>
          <w:b/>
          <w:bCs/>
        </w:rPr>
        <w:t xml:space="preserve">Media Contact</w:t>
      </w:r>
    </w:p>
    <w:p>
      <w:pPr>
        <w:spacing w:after="160"/>
      </w:pPr>
      <w:r>
        <w:t xml:space="preserve">info@alleshealth.com</w:t>
      </w:r>
    </w:p>
    <w:p>
      <w:pPr>
        <w:pBdr>
          <w:left w:val="single" w:color="B8864E" w:sz="12" w:space="8"/>
        </w:pBdr>
        <w:spacing w:after="200"/>
      </w:pPr>
      <w:r>
        <w:rPr>
          <w:i/>
          <w:iCs/>
          <w:color w:val="6B6457"/>
          <w:sz w:val="20"/>
          <w:szCs w:val="20"/>
        </w:rPr>
        <w:t xml:space="preserve">Fill in the bracketed date, and replace the placeholder quote with an actual statement from someone at AllesHealth before sending — I've left it blank rather than inventing a quote and attributing it to a real person.</w:t>
      </w:r>
    </w:p>
    <w:p>
      <w:r>
        <w:br w:type="page"/>
      </w:r>
    </w:p>
    <w:p>
      <w:pPr>
        <w:pStyle w:val="Heading2"/>
        <w:spacing w:after="120" w:before="260"/>
      </w:pPr>
      <w:r>
        <w:t xml:space="preserve">Pitch email templates</w:t>
      </w:r>
    </w:p>
    <w:p>
      <w:pPr>
        <w:spacing w:after="160"/>
      </w:pPr>
      <w:r>
        <w:t xml:space="preserve">Three variants below, targeted at different outlet types. Fill in every bracketed placeholder — none of these should be sent as-is.</w:t>
      </w:r>
    </w:p>
    <w:p>
      <w:pPr>
        <w:pStyle w:val="Heading2"/>
        <w:spacing w:after="120" w:before="260"/>
      </w:pPr>
      <w:r>
        <w:t xml:space="preserve">Template A — Swiss business press</w:t>
      </w:r>
    </w:p>
    <w:p>
      <w:pPr>
        <w:pBdr>
          <w:left w:val="single" w:color="B8864E" w:sz="12" w:space="8"/>
        </w:pBdr>
        <w:spacing w:after="200"/>
      </w:pPr>
      <w:r>
        <w:rPr>
          <w:i/>
          <w:iCs/>
          <w:color w:val="6B6457"/>
          <w:sz w:val="20"/>
          <w:szCs w:val="20"/>
        </w:rPr>
        <w:t xml:space="preserve">Target outlets: NZZ, Handelszeitung, Finews, Bilanz — the same publications your competitive research found covering AYUN. Personalize [Journalist Name] and the opening line before sending.</w:t>
      </w:r>
    </w:p>
    <w:p>
      <w:pPr>
        <w:spacing w:after="160"/>
      </w:pPr>
      <w:r>
        <w:rPr>
          <w:b/>
          <w:bCs/>
        </w:rPr>
        <w:t xml:space="preserve">Subject: </w:t>
      </w:r>
      <w:r>
        <w:t xml:space="preserve">A Swiss angle on why executives are testing biomarkers their GPs don't order</w:t>
      </w:r>
    </w:p>
    <w:p>
      <w:pPr>
        <w:spacing w:after="160"/>
      </w:pPr>
      <w:r>
        <w:t xml:space="preserve">Hi [Journalist Name],</w:t>
      </w:r>
    </w:p>
    <w:p>
      <w:pPr>
        <w:spacing w:after="160"/>
      </w:pPr>
      <w:r>
        <w:t xml:space="preserve">I'm reaching out from AllesHealth GmbH, a Zürich-based health technology company behind Aeonix, a direct-access preventive blood screening service.</w:t>
      </w:r>
    </w:p>
    <w:p>
      <w:pPr>
        <w:spacing w:after="160"/>
      </w:pPr>
      <w:r>
        <w:t xml:space="preserve">We've just expanded our screening guidance for executive populations across four Swiss business hubs — finance leadership in Zürich, the Crypto Valley community in Zug, pharma executives in Basel, and international-organisation professionals in Geneva — each shaped by the specific risk profile of that industry.</w:t>
      </w:r>
    </w:p>
    <w:p>
      <w:pPr>
        <w:spacing w:after="160"/>
      </w:pPr>
      <w:r>
        <w:t xml:space="preserve">Given [Outlet]'s coverage of Swiss health and business topics, I thought this might be relevant: standard Swiss GP check-ups typically don't test biomarkers like ApoB, Lp(a), or HOMA-IR, which are increasingly relevant to long-term cardiovascular and metabolic risk in high-stress executive roles.</w:t>
      </w:r>
    </w:p>
    <w:p>
      <w:pPr>
        <w:spacing w:after="160"/>
      </w:pPr>
      <w:r>
        <w:t xml:space="preserve">Happy to share data, arrange an interview with our team, or provide a sample screening for editorial purposes if useful. Let me know if this is of interest.</w:t>
      </w:r>
    </w:p>
    <w:p>
      <w:pPr>
        <w:spacing w:after="160"/>
      </w:pPr>
      <w:r>
        <w:t xml:space="preserve">Best,
[Your name]
AllesHealth GmbH
info@alleshealth.com</w:t>
      </w:r>
    </w:p>
    <w:p>
      <w:pPr>
        <w:pStyle w:val="Heading2"/>
        <w:spacing w:after="120" w:before="260"/>
      </w:pPr>
      <w:r>
        <w:t xml:space="preserve">Template B — Health, wellness &amp; longevity press</w:t>
      </w:r>
    </w:p>
    <w:p>
      <w:pPr>
        <w:pBdr>
          <w:left w:val="single" w:color="B8864E" w:sz="12" w:space="8"/>
        </w:pBdr>
        <w:spacing w:after="200"/>
      </w:pPr>
      <w:r>
        <w:rPr>
          <w:i/>
          <w:iCs/>
          <w:color w:val="6B6457"/>
          <w:sz w:val="20"/>
          <w:szCs w:val="20"/>
        </w:rPr>
        <w:t xml:space="preserve">Target outlets: Longevity.Technology, longevity/biohacking podcasts, wellness verticals of Swiss and international lifestyle press.</w:t>
      </w:r>
    </w:p>
    <w:p>
      <w:pPr>
        <w:spacing w:after="160"/>
      </w:pPr>
      <w:r>
        <w:rPr>
          <w:b/>
          <w:bCs/>
        </w:rPr>
        <w:t xml:space="preserve">Subject: </w:t>
      </w:r>
      <w:r>
        <w:t xml:space="preserve">Swiss preventive screening data on biomarkers most check-ups miss</w:t>
      </w:r>
    </w:p>
    <w:p>
      <w:pPr>
        <w:spacing w:after="160"/>
      </w:pPr>
      <w:r>
        <w:t xml:space="preserve">Hi [Journalist/Host Name],</w:t>
      </w:r>
    </w:p>
    <w:p>
      <w:pPr>
        <w:spacing w:after="160"/>
      </w:pPr>
      <w:r>
        <w:t xml:space="preserve">I lead [role] at AllesHealth GmbH, the company behind Aeonix — a Swiss preventive blood screening service built around annual biomarker tracking rather than one-off testing.</w:t>
      </w:r>
    </w:p>
    <w:p>
      <w:pPr>
        <w:spacing w:after="160"/>
      </w:pPr>
      <w:r>
        <w:t xml:space="preserve">We test a broader biomarker panel (90–150+ depending on plan) than a typical Swiss check-up, including markers relevant to longevity research — Omega-3 Index, HOMA-IR, DHEA-S, Lp(a) — and we're happy to talk through what we're seeing in terms of demand for longitudinal tracking versus single-visit screening.</w:t>
      </w:r>
    </w:p>
    <w:p>
      <w:pPr>
        <w:spacing w:after="160"/>
      </w:pPr>
      <w:r>
        <w:t xml:space="preserve">Would this be a fit for [Outlet/Show]? I can share more detail on our panel design or connect you directly with our clinical team.</w:t>
      </w:r>
    </w:p>
    <w:p>
      <w:pPr>
        <w:spacing w:after="160"/>
      </w:pPr>
      <w:r>
        <w:t xml:space="preserve">Best,
[Your name]
AllesHealth GmbH
info@alleshealth.com</w:t>
      </w:r>
    </w:p>
    <w:p>
      <w:pPr>
        <w:pStyle w:val="Heading2"/>
        <w:spacing w:after="120" w:before="260"/>
      </w:pPr>
      <w:r>
        <w:t xml:space="preserve">Template C — Expat &amp; international-community press</w:t>
      </w:r>
    </w:p>
    <w:p>
      <w:pPr>
        <w:pBdr>
          <w:left w:val="single" w:color="B8864E" w:sz="12" w:space="8"/>
        </w:pBdr>
        <w:spacing w:after="200"/>
      </w:pPr>
      <w:r>
        <w:rPr>
          <w:i/>
          <w:iCs/>
          <w:color w:val="6B6457"/>
          <w:sz w:val="20"/>
          <w:szCs w:val="20"/>
        </w:rPr>
        <w:t xml:space="preserve">Target outlets: Expatica Switzerland, InterNations Switzerland, Geneva/Zürich expat newsletters and Facebook/LinkedIn groups.</w:t>
      </w:r>
    </w:p>
    <w:p>
      <w:pPr>
        <w:spacing w:after="160"/>
      </w:pPr>
      <w:r>
        <w:rPr>
          <w:b/>
          <w:bCs/>
        </w:rPr>
        <w:t xml:space="preserve">Subject: </w:t>
      </w:r>
      <w:r>
        <w:t xml:space="preserve">A health screening option for Switzerland's international community — no GP referral needed</w:t>
      </w:r>
    </w:p>
    <w:p>
      <w:pPr>
        <w:spacing w:after="160"/>
      </w:pPr>
      <w:r>
        <w:t xml:space="preserve">Hi [Editor Name],</w:t>
      </w:r>
    </w:p>
    <w:p>
      <w:pPr>
        <w:spacing w:after="160"/>
      </w:pPr>
      <w:r>
        <w:t xml:space="preserve">I'm writing from AllesHealth GmbH, the team behind Aeonix, a Swiss preventive blood screening service available in English, German, French, and Italian.</w:t>
      </w:r>
    </w:p>
    <w:p>
      <w:pPr>
        <w:spacing w:after="160"/>
      </w:pPr>
      <w:r>
        <w:t xml:space="preserve">A lot of the expat community in Switzerland — especially in Geneva, given the international-organisation and diplomatic population — doesn't have a regular Swiss GP, which makes it harder to get a baseline health check-up. Aeonix works without a referral: book online, visit a partner lab for a blood draw, get physician-reviewed results within 48 hours.</w:t>
      </w:r>
    </w:p>
    <w:p>
      <w:pPr>
        <w:spacing w:after="160"/>
      </w:pPr>
      <w:r>
        <w:t xml:space="preserve">Would this be useful as a resource mention for your readers, or would you be open to a short interview about health access for internationals in Switzerland?</w:t>
      </w:r>
    </w:p>
    <w:p>
      <w:pPr>
        <w:spacing w:after="160"/>
      </w:pPr>
      <w:r>
        <w:t xml:space="preserve">Best,
[Your name]
AllesHealth GmbH
info@alleshealth.com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2026-08-03T09:49:05.233Z</dcterms:created>
  <dcterms:modified xsi:type="dcterms:W3CDTF">2026-08-03T09:49:05.234Z</dcterms:modified>
</cp:coreProperties>
</file>

<file path=docProps/custom.xml><?xml version="1.0" encoding="utf-8"?>
<Properties xmlns="http://schemas.openxmlformats.org/officeDocument/2006/custom-properties" xmlns:vt="http://schemas.openxmlformats.org/officeDocument/2006/docPropsVTypes"/>
</file>