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Footnote Document</w:t>
      </w:r>
    </w:p>
    <w:p>
      <w:pPr>
        <w:pStyle w:val="Heading1"/>
      </w:pPr>
      <w:r>
        <w:t>Claims</w:t>
      </w:r>
    </w:p>
    <w:p>
      <w:r>
        <w:t>The method improves SOTA performance.</w:t>
      </w:r>
    </w:p>
    <w:p>
      <w:r>
        <w:t>Another claim with a second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3">
    <w:p>
      <w:r>
        <w:t xml:space="preserve">See Smith et al. 2020 for the original formulation.</w:t>
      </w:r>
    </w:p>
  </w:footnote>
  <w:footnote w:id="4">
    <w:p>
      <w:r>
        <w:t xml:space="preserve">Additional ablation in the appendix.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