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Furniture Separation Document</w:t>
      </w:r>
    </w:p>
    <w:p>
      <w:pPr>
        <w:pStyle w:val="Heading1"/>
      </w:pPr>
      <w:r>
        <w:t>Findings</w:t>
      </w:r>
    </w:p>
    <w:p>
      <w:r>
        <w:t>Main finding text lives in the body.</w:t>
      </w:r>
    </w:p>
    <w:p>
      <w:pPr>
        <w:pStyle w:val="Caption"/>
      </w:pPr>
      <w:r>
        <w:t>Table 1: Summary of findings.</w:t>
      </w:r>
    </w:p>
    <w:p>
      <w:r>
        <w:br w:type="page"/>
      </w:r>
    </w:p>
    <w:p>
      <w:pPr>
        <w:pStyle w:val="Heading1"/>
      </w:pPr>
      <w:r>
        <w:t>Appendix</w:t>
      </w:r>
    </w:p>
    <w:p>
      <w:r>
        <w:t>Appendix body text after the page break.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Internal Footer</w:t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3">
    <w:p>
      <w:r>
        <w:t xml:space="preserve">Note: figures rounded to two decimals.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Quarterly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1" Type="http://schemas.openxmlformats.org/officeDocument/2006/relationships/customXml" Target="../customXml/item1.xml" /><Relationship Id="rId2" Type="http://schemas.openxmlformats.org/officeDocument/2006/relationships/numbering" Target="numbering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