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Poorly Styled Technical Document</w:t>
      </w:r>
    </w:p>
    <w:p>
      <w:r>
        <w:rPr>
          <w:b/>
          <w:sz w:val="32"/>
        </w:rPr>
        <w:t>System Overview</w:t>
      </w:r>
    </w:p>
    <w:p>
      <w:r>
        <w:t>The system provides a modular ingestion pipeline.</w:t>
      </w:r>
    </w:p>
    <w:p>
      <w:r>
        <w:rPr>
          <w:b/>
          <w:sz w:val="26"/>
        </w:rPr>
        <w:t>1.1 1.1 Data Sources</w:t>
      </w:r>
    </w:p>
    <w:p>
      <w:r>
        <w:t>Data sources include PDF and DOCX files.</w:t>
      </w:r>
    </w:p>
    <w:p>
      <w:r>
        <w:rPr>
          <w:b/>
          <w:sz w:val="26"/>
        </w:rPr>
        <w:t>1.2 1.2 Cleaning Rules</w:t>
      </w:r>
    </w:p>
    <w:p>
      <w:r>
        <w:t>Cleaning rules must be deterministic and auditable.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