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A459A5">
      <w:pPr>
        <w:pStyle w:val="TopTitle"/>
        <w:tabs>
          <w:tab w:val="left" w:pos="1418"/>
        </w:tabs>
        <w:rPr>
          <w:color w:val="44546A" w:themeColor="text2"/>
          <w:lang w:val="pt-BR"/>
        </w:rPr>
      </w:pPr>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49AD279D" w14:textId="77777777"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0"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w:t>
      </w:r>
      <w:r w:rsidRPr="006913E4">
        <w:rPr>
          <w:sz w:val="20"/>
          <w:szCs w:val="20"/>
        </w:rPr>
        <w:lastRenderedPageBreak/>
        <w:t xml:space="preserve">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1"/>
          <w:footerReference w:type="default" r:id="rId12"/>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774510">
        <w:trPr>
          <w:trHeight w:val="1431"/>
          <w:jc w:val="center"/>
        </w:trPr>
        <w:tc>
          <w:tcPr>
            <w:tcW w:w="1620" w:type="dxa"/>
            <w:shd w:val="clear" w:color="auto" w:fill="auto"/>
          </w:tcPr>
          <w:p w14:paraId="33725707"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59264" behindDoc="1" locked="0" layoutInCell="1" allowOverlap="0" wp14:anchorId="27EB5E7C" wp14:editId="0B949590">
                  <wp:simplePos x="0" y="0"/>
                  <wp:positionH relativeFrom="column">
                    <wp:posOffset>34290</wp:posOffset>
                  </wp:positionH>
                  <wp:positionV relativeFrom="paragraph">
                    <wp:posOffset>92859</wp:posOffset>
                  </wp:positionV>
                  <wp:extent cx="823090" cy="80467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D-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3090" cy="804672"/>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right w:val="nil"/>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nil"/>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774510">
        <w:trPr>
          <w:trHeight w:val="1161"/>
          <w:jc w:val="center"/>
        </w:trPr>
        <w:tc>
          <w:tcPr>
            <w:tcW w:w="1620" w:type="dxa"/>
            <w:tcBorders>
              <w:right w:val="single" w:sz="4" w:space="0" w:color="auto"/>
            </w:tcBorders>
          </w:tcPr>
          <w:p w14:paraId="576BA72E"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0288" behindDoc="1" locked="0" layoutInCell="1" allowOverlap="1" wp14:anchorId="5E3A78F9" wp14:editId="043FC320">
                  <wp:simplePos x="0" y="0"/>
                  <wp:positionH relativeFrom="column">
                    <wp:posOffset>34290</wp:posOffset>
                  </wp:positionH>
                  <wp:positionV relativeFrom="margin">
                    <wp:posOffset>78142</wp:posOffset>
                  </wp:positionV>
                  <wp:extent cx="822960" cy="5943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R-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 cy="594360"/>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nil"/>
              <w:right w:val="nil"/>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nil"/>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774510">
        <w:trPr>
          <w:trHeight w:val="1341"/>
          <w:jc w:val="center"/>
        </w:trPr>
        <w:tc>
          <w:tcPr>
            <w:tcW w:w="1620" w:type="dxa"/>
            <w:tcBorders>
              <w:right w:val="single" w:sz="4" w:space="0" w:color="auto"/>
            </w:tcBorders>
          </w:tcPr>
          <w:p w14:paraId="0DF544D6"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1312" behindDoc="1" locked="0" layoutInCell="1" allowOverlap="1" wp14:anchorId="1D2D4DDC" wp14:editId="6E10C357">
                  <wp:simplePos x="0" y="0"/>
                  <wp:positionH relativeFrom="column">
                    <wp:posOffset>34290</wp:posOffset>
                  </wp:positionH>
                  <wp:positionV relativeFrom="paragraph">
                    <wp:posOffset>83858</wp:posOffset>
                  </wp:positionV>
                  <wp:extent cx="823554" cy="70408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botics-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554" cy="704088"/>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single" w:sz="4" w:space="0" w:color="auto"/>
              <w:right w:val="nil"/>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nil"/>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A65B1B7"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 I.A. incluem:</w:t>
      </w:r>
    </w:p>
    <w:p w14:paraId="73AC9959" w14:textId="40C2350A" w:rsidR="006913E4"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Software</w:t>
      </w:r>
    </w:p>
    <w:p w14:paraId="757991A1" w14:textId="3850145F"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da computação</w:t>
      </w:r>
    </w:p>
    <w:p w14:paraId="732A4BE3" w14:textId="4D837ACB" w:rsidR="00FD492D"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de dados</w:t>
      </w:r>
    </w:p>
    <w:p w14:paraId="25871D9C" w14:textId="3CEC9637" w:rsidR="00FD492D"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Especialistas em algoritmo</w:t>
      </w:r>
    </w:p>
    <w:p w14:paraId="47140C5B" w14:textId="5BA97D42"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mecânicos</w:t>
      </w:r>
      <w:bookmarkStart w:id="0" w:name="_GoBack"/>
      <w:bookmarkEnd w:id="0"/>
    </w:p>
    <w:p w14:paraId="11879883" w14:textId="5B4BA315"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design</w:t>
      </w:r>
    </w:p>
    <w:p w14:paraId="51304F84" w14:textId="0F6CFF6B" w:rsidR="00A459A5"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Desenvolvedores de conteúdo</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29C73" w14:textId="77777777" w:rsidR="00AE3996" w:rsidRDefault="00AE3996" w:rsidP="006D130D">
      <w:r>
        <w:separator/>
      </w:r>
    </w:p>
  </w:endnote>
  <w:endnote w:type="continuationSeparator" w:id="0">
    <w:p w14:paraId="64C61778" w14:textId="77777777" w:rsidR="00AE3996" w:rsidRDefault="00AE3996"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38653" w14:textId="77777777" w:rsidR="00AE3996" w:rsidRDefault="00AE3996" w:rsidP="006D130D">
      <w:r>
        <w:separator/>
      </w:r>
    </w:p>
  </w:footnote>
  <w:footnote w:type="continuationSeparator" w:id="0">
    <w:p w14:paraId="6F3F06E8" w14:textId="77777777" w:rsidR="00AE3996" w:rsidRDefault="00AE3996"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57EE4"/>
    <w:multiLevelType w:val="hybridMultilevel"/>
    <w:tmpl w:val="87D6C4DA"/>
    <w:lvl w:ilvl="0" w:tplc="10BE8A1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41C20"/>
    <w:multiLevelType w:val="hybridMultilevel"/>
    <w:tmpl w:val="521671FE"/>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A0469D"/>
    <w:multiLevelType w:val="hybridMultilevel"/>
    <w:tmpl w:val="86B6782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933F4"/>
    <w:multiLevelType w:val="hybridMultilevel"/>
    <w:tmpl w:val="ADEA5560"/>
    <w:lvl w:ilvl="0" w:tplc="E5D83760">
      <w:start w:val="1"/>
      <w:numFmt w:val="bullet"/>
      <w:lvlText w:val=""/>
      <w:lvlJc w:val="left"/>
      <w:pPr>
        <w:ind w:left="1080" w:hanging="360"/>
      </w:pPr>
      <w:rPr>
        <w:rFonts w:ascii="Wingdings" w:hAnsi="Wingdings" w:hint="default"/>
        <w:color w:val="FF000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BB243C"/>
    <w:multiLevelType w:val="hybridMultilevel"/>
    <w:tmpl w:val="94D41546"/>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C91962"/>
    <w:multiLevelType w:val="hybridMultilevel"/>
    <w:tmpl w:val="EC32CA60"/>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C51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C4686"/>
    <w:multiLevelType w:val="hybridMultilevel"/>
    <w:tmpl w:val="673618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F0655"/>
    <w:rsid w:val="001F751D"/>
    <w:rsid w:val="00270EA3"/>
    <w:rsid w:val="005C3F00"/>
    <w:rsid w:val="00636BE5"/>
    <w:rsid w:val="006913E4"/>
    <w:rsid w:val="006C5CD4"/>
    <w:rsid w:val="006D130D"/>
    <w:rsid w:val="006D5101"/>
    <w:rsid w:val="00766516"/>
    <w:rsid w:val="0076663C"/>
    <w:rsid w:val="007E5BA7"/>
    <w:rsid w:val="008704A4"/>
    <w:rsid w:val="00913AAB"/>
    <w:rsid w:val="00A459A5"/>
    <w:rsid w:val="00AE3996"/>
    <w:rsid w:val="00DA676C"/>
    <w:rsid w:val="00E343AB"/>
    <w:rsid w:val="00EC5B32"/>
    <w:rsid w:val="00F07C84"/>
    <w:rsid w:val="00F32F01"/>
    <w:rsid w:val="00F55174"/>
    <w:rsid w:val="00FD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red30tech.com/Ca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1866</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2</cp:revision>
  <dcterms:created xsi:type="dcterms:W3CDTF">2019-01-14T16:36:00Z</dcterms:created>
  <dcterms:modified xsi:type="dcterms:W3CDTF">2019-01-14T16:36:00Z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