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80" w:after="280"/>
        <w:jc w:val="center"/>
      </w:pPr>
      <w:r>
        <w:rPr>
          <w:rFonts w:ascii="Aptos" w:hAnsi="Aptos" w:eastAsia="Microsoft YaHei"/>
          <w:b/>
          <w:color w:val="000000"/>
          <w:sz w:val="48"/>
        </w:rPr>
        <w:t>Count-Less 软件复现实验总结</w:t>
      </w:r>
    </w:p>
    <w:p>
      <w:pPr>
        <w:spacing w:after="120"/>
        <w:jc w:val="center"/>
      </w:pPr>
      <w:r>
        <w:rPr>
          <w:rFonts w:ascii="Aptos" w:hAnsi="Aptos" w:eastAsia="Microsoft YaHei"/>
          <w:b w:val="0"/>
          <w:color w:val="000000"/>
          <w:sz w:val="28"/>
        </w:rPr>
        <w:t>核心更新机制 压力测试与跨层诊断</w:t>
      </w:r>
    </w:p>
    <w:p>
      <w:pPr>
        <w:spacing w:after="640"/>
        <w:jc w:val="center"/>
      </w:pPr>
      <w:r>
        <w:rPr>
          <w:rFonts w:ascii="Aptos" w:hAnsi="Aptos" w:eastAsia="Microsoft YaHei"/>
          <w:b w:val="0"/>
          <w:color w:val="505050"/>
          <w:sz w:val="21"/>
        </w:rPr>
        <w:t>2026 年 10 月</w:t>
      </w:r>
    </w:p>
    <w:p>
      <w:pPr>
        <w:pStyle w:val="Heading1"/>
        <w:keepNext/>
        <w:spacing w:before="240" w:after="120"/>
      </w:pPr>
      <w:r>
        <w:rPr>
          <w:rFonts w:ascii="Aptos" w:hAnsi="Aptos" w:eastAsia="Microsoft YaHei"/>
          <w:b/>
          <w:color w:val="000000"/>
          <w:sz w:val="32"/>
        </w:rPr>
        <w:t>摘要</w:t>
      </w:r>
    </w:p>
    <w:p>
      <w:pPr>
        <w:keepLines w:val="0"/>
        <w:spacing w:line="336" w:lineRule="auto" w:after="120"/>
        <w:ind w:firstLine="440"/>
      </w:pPr>
      <w:r>
        <w:rPr>
          <w:rFonts w:ascii="Aptos" w:hAnsi="Aptos" w:eastAsia="Microsoft YaHei"/>
          <w:b w:val="0"/>
          <w:color w:val="000000"/>
          <w:sz w:val="22"/>
        </w:rPr>
        <w:t>本项目在 Python 环境中实现 Count-Min 与 Count-Less 的五种对照方案，通过 Zipf 合成流量、内存敏感性、固定内存压力测试、Flow Size 分组和 Cross-layer Rescue 分析，验证 Pyramid 结构与 Minimum Update 的计数特性。实验显示，CL-MU 在当前合成流量下的平均误差明显低于 CM、CM-CU 和 CL-CM，但仍存在相对软件理想基线 CL-CU 的精度代价。高负载下，这一代价在 100-packet Flow 上尤为明显，并与 MU 的逐层更新行为相符。</w:t>
      </w:r>
    </w:p>
    <w:p>
      <w:pPr>
        <w:pStyle w:val="ListBullet"/>
        <w:spacing w:after="80" w:line="300" w:lineRule="auto"/>
        <w:ind w:left="360" w:hanging="259"/>
      </w:pPr>
      <w:r>
        <w:rPr>
          <w:rFonts w:ascii="Aptos" w:hAnsi="Aptos" w:eastAsia="Microsoft YaHei"/>
          <w:b w:val="0"/>
          <w:color w:val="000000"/>
          <w:sz w:val="22"/>
        </w:rPr>
        <w:t>内存从 8 KB 增加到 64 KB 时，CL-MU ARE 从 0.7521 降至 0.0152。</w:t>
      </w:r>
    </w:p>
    <w:p>
      <w:pPr>
        <w:pStyle w:val="ListBullet"/>
        <w:spacing w:after="80" w:line="300" w:lineRule="auto"/>
        <w:ind w:left="360" w:hanging="259"/>
      </w:pPr>
      <w:r>
        <w:rPr>
          <w:rFonts w:ascii="Aptos" w:hAnsi="Aptos" w:eastAsia="Microsoft YaHei"/>
          <w:b w:val="0"/>
          <w:color w:val="000000"/>
          <w:sz w:val="22"/>
        </w:rPr>
        <w:t>20,000 Flows 时，单包流约贡献 CL-MU 总体 ARE 的 98.2%。</w:t>
      </w:r>
    </w:p>
    <w:p>
      <w:pPr>
        <w:pStyle w:val="ListBullet"/>
        <w:spacing w:after="80" w:line="300" w:lineRule="auto"/>
        <w:ind w:left="360" w:hanging="259"/>
      </w:pPr>
      <w:r>
        <w:rPr>
          <w:rFonts w:ascii="Aptos" w:hAnsi="Aptos" w:eastAsia="Microsoft YaHei"/>
          <w:b w:val="0"/>
          <w:color w:val="000000"/>
          <w:sz w:val="22"/>
        </w:rPr>
        <w:t>100-packet Flow 上，CL-CU 与 CL-MU 的 Final FSR 分别为 91.70% 和 64.63%。</w:t>
      </w:r>
    </w:p>
    <w:p>
      <w:pPr>
        <w:pStyle w:val="ListBullet"/>
        <w:spacing w:after="80" w:line="300" w:lineRule="auto"/>
        <w:ind w:left="360" w:hanging="259"/>
      </w:pPr>
      <w:r>
        <w:rPr>
          <w:rFonts w:ascii="Aptos" w:hAnsi="Aptos" w:eastAsia="Microsoft YaHei"/>
          <w:b w:val="0"/>
          <w:color w:val="000000"/>
          <w:sz w:val="22"/>
        </w:rPr>
        <w:t>CL-MU 的高层能挽救部分第一层失败，但其第一层本身累积了更多高估噪声。</w:t>
      </w:r>
    </w:p>
    <w:p>
      <w:pPr>
        <w:pStyle w:val="Heading1"/>
        <w:keepNext/>
        <w:pageBreakBefore/>
        <w:spacing w:before="240" w:after="120"/>
      </w:pPr>
      <w:r>
        <w:rPr>
          <w:rFonts w:ascii="Aptos" w:hAnsi="Aptos" w:eastAsia="Microsoft YaHei"/>
          <w:b/>
          <w:color w:val="000000"/>
          <w:sz w:val="32"/>
        </w:rPr>
        <w:t>1 研究目标与复现范围</w:t>
      </w:r>
    </w:p>
    <w:p>
      <w:pPr>
        <w:keepLines w:val="0"/>
        <w:spacing w:line="336" w:lineRule="auto" w:after="120"/>
        <w:ind w:firstLine="440"/>
      </w:pPr>
      <w:r>
        <w:rPr>
          <w:rFonts w:ascii="Aptos" w:hAnsi="Aptos" w:eastAsia="Microsoft YaHei"/>
          <w:b w:val="0"/>
          <w:color w:val="000000"/>
          <w:sz w:val="22"/>
        </w:rPr>
        <w:t>本实验聚焦 Count-Less 的核心计数路径：不同位宽的金字塔计数器、逐层溢出处理以及 Minimum Update。研究目标不是重现论文的所有实验，而是先在可控的软件环境中确认算法是否正确、何时退化，以及退化与内部更新机制的关系。</w:t>
      </w:r>
    </w:p>
    <w:p>
      <w:pPr>
        <w:keepLines w:val="0"/>
        <w:spacing w:line="336" w:lineRule="auto" w:after="120"/>
        <w:ind w:firstLine="440"/>
      </w:pPr>
      <w:r>
        <w:rPr>
          <w:rFonts w:ascii="Aptos" w:hAnsi="Aptos" w:eastAsia="Microsoft YaHei"/>
          <w:b w:val="0"/>
          <w:color w:val="000000"/>
          <w:sz w:val="22"/>
        </w:rPr>
        <w:t>当前证据来自自生成的 Zipf 流量和固定流大小组成的压力测试。尚未加入真实 CAIDA 轨迹、攻击混合流量、完整 FCM 与 Elastic 基线、硬件资源评估和与原论文完全一致的参数配置。因此，报告中的结论只适用于已测试的软件配置。</w:t>
      </w:r>
    </w:p>
    <w:p>
      <w:pPr>
        <w:pStyle w:val="Heading1"/>
        <w:keepNext/>
        <w:spacing w:before="240" w:after="120"/>
      </w:pPr>
      <w:r>
        <w:rPr>
          <w:rFonts w:ascii="Aptos" w:hAnsi="Aptos" w:eastAsia="Microsoft YaHei"/>
          <w:b/>
          <w:color w:val="000000"/>
          <w:sz w:val="32"/>
        </w:rPr>
        <w:t>2 算法与实验方法</w:t>
      </w:r>
    </w:p>
    <w:p>
      <w:pPr>
        <w:keepNext/>
        <w:spacing w:before="100" w:after="100"/>
        <w:jc w:val="center"/>
      </w:pPr>
      <w:r>
        <w:rPr>
          <w:rFonts w:ascii="Aptos" w:hAnsi="Aptos" w:eastAsia="Microsoft YaHei"/>
          <w:b w:val="0"/>
          <w:color w:val="505050"/>
          <w:sz w:val="19"/>
        </w:rPr>
        <w:t>表 1 五种对照算法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123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算法</w:t>
            </w:r>
          </w:p>
        </w:tc>
        <w:tc>
          <w:tcPr>
            <w:tcW w:type="dxa" w:w="2088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数据结构</w:t>
            </w:r>
          </w:p>
        </w:tc>
        <w:tc>
          <w:tcPr>
            <w:tcW w:type="dxa" w:w="2232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更新方式</w:t>
            </w:r>
          </w:p>
        </w:tc>
        <w:tc>
          <w:tcPr>
            <w:tcW w:type="dxa" w:w="4104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对照作用</w:t>
            </w:r>
          </w:p>
        </w:tc>
      </w:tr>
      <w:tr>
        <w:trPr>
          <w:cantSplit/>
        </w:trPr>
        <w:tc>
          <w:tcPr>
            <w:tcW w:type="dxa" w:w="1123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CM</w:t>
            </w:r>
          </w:p>
        </w:tc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标准 Count-Min</w:t>
            </w:r>
          </w:p>
        </w:tc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全部更新</w:t>
            </w:r>
          </w:p>
        </w:tc>
        <w:tc>
          <w:tcPr>
            <w:tcW w:type="dxa" w:w="41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传统基线</w:t>
            </w:r>
          </w:p>
        </w:tc>
      </w:tr>
      <w:tr>
        <w:trPr>
          <w:cantSplit/>
        </w:trPr>
        <w:tc>
          <w:tcPr>
            <w:tcW w:type="dxa" w:w="1123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CM-CU</w:t>
            </w:r>
          </w:p>
        </w:tc>
        <w:tc>
          <w:tcPr>
            <w:tcW w:type="dxa" w:w="2088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标准 Count-Min</w:t>
            </w:r>
          </w:p>
        </w:tc>
        <w:tc>
          <w:tcPr>
            <w:tcW w:type="dxa" w:w="2232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Conservative Update</w:t>
            </w:r>
          </w:p>
        </w:tc>
        <w:tc>
          <w:tcPr>
            <w:tcW w:type="dxa" w:w="4104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验证保守更新的收益</w:t>
            </w:r>
          </w:p>
        </w:tc>
      </w:tr>
      <w:tr>
        <w:trPr>
          <w:cantSplit/>
        </w:trPr>
        <w:tc>
          <w:tcPr>
            <w:tcW w:type="dxa" w:w="1123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CL-CM</w:t>
            </w:r>
          </w:p>
        </w:tc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Pyramid</w:t>
            </w:r>
          </w:p>
        </w:tc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全层更新</w:t>
            </w:r>
          </w:p>
        </w:tc>
        <w:tc>
          <w:tcPr>
            <w:tcW w:type="dxa" w:w="41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隔离金字塔结构的影响</w:t>
            </w:r>
          </w:p>
        </w:tc>
      </w:tr>
      <w:tr>
        <w:trPr>
          <w:cantSplit/>
        </w:trPr>
        <w:tc>
          <w:tcPr>
            <w:tcW w:type="dxa" w:w="1123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CL-CU</w:t>
            </w:r>
          </w:p>
        </w:tc>
        <w:tc>
          <w:tcPr>
            <w:tcW w:type="dxa" w:w="2088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Pyramid</w:t>
            </w:r>
          </w:p>
        </w:tc>
        <w:tc>
          <w:tcPr>
            <w:tcW w:type="dxa" w:w="2232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全局 CU</w:t>
            </w:r>
          </w:p>
        </w:tc>
        <w:tc>
          <w:tcPr>
            <w:tcW w:type="dxa" w:w="4104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软件理想精度参考</w:t>
            </w:r>
          </w:p>
        </w:tc>
      </w:tr>
      <w:tr>
        <w:trPr>
          <w:cantSplit/>
        </w:trPr>
        <w:tc>
          <w:tcPr>
            <w:tcW w:type="dxa" w:w="1123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CL-MU</w:t>
            </w:r>
          </w:p>
        </w:tc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Pyramid</w:t>
            </w:r>
          </w:p>
        </w:tc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Minimum Update</w:t>
            </w:r>
          </w:p>
        </w:tc>
        <w:tc>
          <w:tcPr>
            <w:tcW w:type="dxa" w:w="41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Count-Less 核心方案</w:t>
            </w:r>
          </w:p>
        </w:tc>
      </w:tr>
    </w:tbl>
    <w:p>
      <w:pPr>
        <w:spacing w:after="20"/>
      </w:pPr>
    </w:p>
    <w:p>
      <w:pPr>
        <w:keepLines w:val="0"/>
        <w:spacing w:line="336" w:lineRule="auto" w:after="120"/>
        <w:ind w:firstLine="440"/>
      </w:pPr>
      <w:r>
        <w:rPr>
          <w:rFonts w:ascii="Aptos" w:hAnsi="Aptos" w:eastAsia="Microsoft YaHei"/>
          <w:b w:val="0"/>
          <w:color w:val="000000"/>
          <w:sz w:val="22"/>
        </w:rPr>
        <w:t>消融关系分为三组。CM 与 CL-CM 的差异反映金字塔结构的作用；CL-CM 与 CL-MU 的差异反映 Minimum Update 的收益；CL-CU 与 CL-MU 的差异表示为了满足单向流水线顺序更新而引入的精度代价。CL-CU 仅作为软件参考，不表示它可直接部署在目标交换机流水线上。</w:t>
      </w:r>
    </w:p>
    <w:p>
      <w:pPr>
        <w:keepNext/>
        <w:spacing w:before="100" w:after="100"/>
        <w:jc w:val="center"/>
      </w:pPr>
      <w:r>
        <w:rPr>
          <w:rFonts w:ascii="Aptos" w:hAnsi="Aptos" w:eastAsia="Microsoft YaHei"/>
          <w:b w:val="0"/>
          <w:color w:val="505050"/>
          <w:sz w:val="19"/>
        </w:rPr>
        <w:t>表 2 基础实验配置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7703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配置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执行环境</w:t>
            </w:r>
          </w:p>
        </w:tc>
        <w:tc>
          <w:tcPr>
            <w:tcW w:type="dxa" w:w="7703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Python 软件模拟</w:t>
            </w:r>
          </w:p>
        </w:tc>
      </w:tr>
      <w:tr>
        <w:trPr>
          <w:cantSplit/>
        </w:trPr>
        <w:tc>
          <w:tcPr>
            <w:tcW w:type="dxa" w:w="2232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基础流量</w:t>
            </w:r>
          </w:p>
        </w:tc>
        <w:tc>
          <w:tcPr>
            <w:tcW w:type="dxa" w:w="7703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100,000 packets，5,000 flows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Zipf 参数</w:t>
            </w:r>
          </w:p>
        </w:tc>
        <w:tc>
          <w:tcPr>
            <w:tcW w:type="dxa" w:w="7703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1.2、2.0、3.0</w:t>
            </w:r>
          </w:p>
        </w:tc>
      </w:tr>
      <w:tr>
        <w:trPr>
          <w:cantSplit/>
        </w:trPr>
        <w:tc>
          <w:tcPr>
            <w:tcW w:type="dxa" w:w="2232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内存预算</w:t>
            </w:r>
          </w:p>
        </w:tc>
        <w:tc>
          <w:tcPr>
            <w:tcW w:type="dxa" w:w="7703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8、16、32、64 KB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随机种子</w:t>
            </w:r>
          </w:p>
        </w:tc>
        <w:tc>
          <w:tcPr>
            <w:tcW w:type="dxa" w:w="7703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42、43、44、45、46</w:t>
            </w:r>
          </w:p>
        </w:tc>
      </w:tr>
      <w:tr>
        <w:trPr>
          <w:cantSplit/>
        </w:trPr>
        <w:tc>
          <w:tcPr>
            <w:tcW w:type="dxa" w:w="2232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主要指标</w:t>
            </w:r>
          </w:p>
        </w:tc>
        <w:tc>
          <w:tcPr>
            <w:tcW w:type="dxa" w:w="7703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AAE、ARE、Mouse FSR、Elephant FSR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FSR 判据</w:t>
            </w:r>
          </w:p>
        </w:tc>
        <w:tc>
          <w:tcPr>
            <w:tcW w:type="dxa" w:w="7703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相对误差严格小于 10%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20"/>
      </w:pPr>
      <w:r>
        <w:rPr>
          <w:rFonts w:ascii="Aptos" w:hAnsi="Aptos" w:eastAsia="Microsoft YaHei"/>
          <w:b/>
          <w:color w:val="000000"/>
          <w:sz w:val="32"/>
        </w:rPr>
        <w:t>3 哈希异常与可信性修正</w:t>
      </w:r>
    </w:p>
    <w:p>
      <w:pPr>
        <w:keepLines w:val="0"/>
        <w:spacing w:line="336" w:lineRule="auto" w:after="120"/>
        <w:ind w:firstLine="440"/>
      </w:pPr>
      <w:r>
        <w:rPr>
          <w:rFonts w:ascii="Aptos" w:hAnsi="Aptos" w:eastAsia="Microsoft YaHei"/>
          <w:b w:val="0"/>
          <w:color w:val="000000"/>
          <w:sz w:val="22"/>
        </w:rPr>
        <w:t>初始实验使用线性哈希和连续整数 Flow ID。在 Zipf=2.0、8 KB 与相同数据生成规则下，仅更换随机种子，CL-MU ARE 就在 0.149 至 2.447 之间大幅波动。第一层共有 4672 个计数位置，Seed 42 仅占用 1204 个位置，Seed 44 则占用 4452 个位置。这表明异常波动与哈希映射规律有关。</w:t>
      </w:r>
    </w:p>
    <w:p>
      <w:pPr>
        <w:keepNext/>
        <w:spacing w:before="100" w:after="100"/>
        <w:jc w:val="center"/>
      </w:pPr>
      <w:r>
        <w:rPr>
          <w:rFonts w:ascii="Aptos" w:hAnsi="Aptos" w:eastAsia="Microsoft YaHei"/>
          <w:b w:val="0"/>
          <w:color w:val="505050"/>
          <w:sz w:val="19"/>
        </w:rPr>
        <w:t>表 3 线性哈希下的种子敏感性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Seed</w:t>
            </w:r>
          </w:p>
        </w:tc>
        <w:tc>
          <w:tcPr>
            <w:tcW w:type="dxa" w:w="3744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CL-MU ARE</w:t>
            </w:r>
          </w:p>
        </w:tc>
        <w:tc>
          <w:tcPr>
            <w:tcW w:type="dxa" w:w="3744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Mouse FSR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42</w:t>
            </w:r>
          </w:p>
        </w:tc>
        <w:tc>
          <w:tcPr>
            <w:tcW w:type="dxa" w:w="37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2.447</w:t>
            </w:r>
          </w:p>
        </w:tc>
        <w:tc>
          <w:tcPr>
            <w:tcW w:type="dxa" w:w="37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4.93%</w:t>
            </w:r>
          </w:p>
        </w:tc>
      </w:tr>
      <w:tr>
        <w:trPr>
          <w:cantSplit/>
        </w:trPr>
        <w:tc>
          <w:tcPr>
            <w:tcW w:type="dxa" w:w="1728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43</w:t>
            </w:r>
          </w:p>
        </w:tc>
        <w:tc>
          <w:tcPr>
            <w:tcW w:type="dxa" w:w="3744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0.529</w:t>
            </w:r>
          </w:p>
        </w:tc>
        <w:tc>
          <w:tcPr>
            <w:tcW w:type="dxa" w:w="3744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52.18%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44</w:t>
            </w:r>
          </w:p>
        </w:tc>
        <w:tc>
          <w:tcPr>
            <w:tcW w:type="dxa" w:w="37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0.149</w:t>
            </w:r>
          </w:p>
        </w:tc>
        <w:tc>
          <w:tcPr>
            <w:tcW w:type="dxa" w:w="37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86.26%</w:t>
            </w:r>
          </w:p>
        </w:tc>
      </w:tr>
      <w:tr>
        <w:trPr>
          <w:cantSplit/>
        </w:trPr>
        <w:tc>
          <w:tcPr>
            <w:tcW w:type="dxa" w:w="1728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45</w:t>
            </w:r>
          </w:p>
        </w:tc>
        <w:tc>
          <w:tcPr>
            <w:tcW w:type="dxa" w:w="3744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0.525</w:t>
            </w:r>
          </w:p>
        </w:tc>
        <w:tc>
          <w:tcPr>
            <w:tcW w:type="dxa" w:w="3744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56.61%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46</w:t>
            </w:r>
          </w:p>
        </w:tc>
        <w:tc>
          <w:tcPr>
            <w:tcW w:type="dxa" w:w="37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0.584</w:t>
            </w:r>
          </w:p>
        </w:tc>
        <w:tc>
          <w:tcPr>
            <w:tcW w:type="dxa" w:w="37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42.81%</w:t>
            </w:r>
          </w:p>
        </w:tc>
      </w:tr>
    </w:tbl>
    <w:p>
      <w:pPr>
        <w:spacing w:after="20"/>
      </w:pPr>
    </w:p>
    <w:p>
      <w:pPr>
        <w:keepLines w:val="0"/>
        <w:spacing w:line="336" w:lineRule="auto" w:after="120"/>
        <w:ind w:firstLine="440"/>
      </w:pPr>
      <w:r>
        <w:rPr>
          <w:rFonts w:ascii="Aptos" w:hAnsi="Aptos" w:eastAsia="Microsoft YaHei"/>
          <w:b w:val="0"/>
          <w:color w:val="000000"/>
          <w:sz w:val="22"/>
        </w:rPr>
        <w:t>将哈希实现替换为 SplitMix64 位混合后，五个种子的第一层占用位置稳定在 3062 至 3090，独占位置的 Flow 比例约为 34%。后续实验统一使用 SplitMix64 和五个种子。这一修正降低了已观察的种子敏感性，但不能替代对哈希独立性的更完整验证。</w:t>
      </w:r>
    </w:p>
    <w:p>
      <w:pPr>
        <w:pStyle w:val="Heading1"/>
        <w:keepNext/>
        <w:spacing w:before="240" w:after="120"/>
      </w:pPr>
      <w:r>
        <w:rPr>
          <w:rFonts w:ascii="Aptos" w:hAnsi="Aptos" w:eastAsia="Microsoft YaHei"/>
          <w:b/>
          <w:color w:val="000000"/>
          <w:sz w:val="32"/>
        </w:rPr>
        <w:t>4 Zipf 流量下的基础精度</w:t>
      </w:r>
    </w:p>
    <w:p>
      <w:pPr>
        <w:keepNext/>
        <w:spacing w:before="100" w:after="100"/>
        <w:jc w:val="center"/>
      </w:pPr>
      <w:r>
        <w:rPr>
          <w:rFonts w:ascii="Aptos" w:hAnsi="Aptos" w:eastAsia="Microsoft YaHei"/>
          <w:b w:val="0"/>
          <w:color w:val="505050"/>
          <w:sz w:val="19"/>
        </w:rPr>
        <w:t>表 4 8 KB 下的五种子平均 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944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算法</w:t>
            </w:r>
          </w:p>
        </w:tc>
        <w:tc>
          <w:tcPr>
            <w:tcW w:type="dxa" w:w="2419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Zipf 1.2</w:t>
            </w:r>
          </w:p>
        </w:tc>
        <w:tc>
          <w:tcPr>
            <w:tcW w:type="dxa" w:w="2419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Zipf 2.0</w:t>
            </w:r>
          </w:p>
        </w:tc>
        <w:tc>
          <w:tcPr>
            <w:tcW w:type="dxa" w:w="2419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Zipf 3.0</w:t>
            </w:r>
          </w:p>
        </w:tc>
      </w:tr>
      <w:tr>
        <w:trPr>
          <w:cantSplit/>
        </w:trPr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CM</w:t>
            </w:r>
          </w:p>
        </w:tc>
        <w:tc>
          <w:tcPr>
            <w:tcW w:type="dxa" w:w="2419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9.552</w:t>
            </w:r>
          </w:p>
        </w:tc>
        <w:tc>
          <w:tcPr>
            <w:tcW w:type="dxa" w:w="2419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5.435</w:t>
            </w:r>
          </w:p>
        </w:tc>
        <w:tc>
          <w:tcPr>
            <w:tcW w:type="dxa" w:w="2419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5.156</w:t>
            </w:r>
          </w:p>
        </w:tc>
      </w:tr>
      <w:tr>
        <w:trPr>
          <w:cantSplit/>
        </w:trPr>
        <w:tc>
          <w:tcPr>
            <w:tcW w:type="dxa" w:w="1944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CM-CU</w:t>
            </w:r>
          </w:p>
        </w:tc>
        <w:tc>
          <w:tcPr>
            <w:tcW w:type="dxa" w:w="2419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5.915</w:t>
            </w:r>
          </w:p>
        </w:tc>
        <w:tc>
          <w:tcPr>
            <w:tcW w:type="dxa" w:w="2419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3.069</w:t>
            </w:r>
          </w:p>
        </w:tc>
        <w:tc>
          <w:tcPr>
            <w:tcW w:type="dxa" w:w="2419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2.780</w:t>
            </w:r>
          </w:p>
        </w:tc>
      </w:tr>
      <w:tr>
        <w:trPr>
          <w:cantSplit/>
        </w:trPr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CL-CM</w:t>
            </w:r>
          </w:p>
        </w:tc>
        <w:tc>
          <w:tcPr>
            <w:tcW w:type="dxa" w:w="2419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2.014</w:t>
            </w:r>
          </w:p>
        </w:tc>
        <w:tc>
          <w:tcPr>
            <w:tcW w:type="dxa" w:w="2419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1.097</w:t>
            </w:r>
          </w:p>
        </w:tc>
        <w:tc>
          <w:tcPr>
            <w:tcW w:type="dxa" w:w="2419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1.014</w:t>
            </w:r>
          </w:p>
        </w:tc>
      </w:tr>
      <w:tr>
        <w:trPr>
          <w:cantSplit/>
        </w:trPr>
        <w:tc>
          <w:tcPr>
            <w:tcW w:type="dxa" w:w="1944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CL-CU</w:t>
            </w:r>
          </w:p>
        </w:tc>
        <w:tc>
          <w:tcPr>
            <w:tcW w:type="dxa" w:w="2419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1.296</w:t>
            </w:r>
          </w:p>
        </w:tc>
        <w:tc>
          <w:tcPr>
            <w:tcW w:type="dxa" w:w="2419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0.674</w:t>
            </w:r>
          </w:p>
        </w:tc>
        <w:tc>
          <w:tcPr>
            <w:tcW w:type="dxa" w:w="2419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0.620</w:t>
            </w:r>
          </w:p>
        </w:tc>
      </w:tr>
      <w:tr>
        <w:trPr>
          <w:cantSplit/>
        </w:trPr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CL-MU</w:t>
            </w:r>
          </w:p>
        </w:tc>
        <w:tc>
          <w:tcPr>
            <w:tcW w:type="dxa" w:w="2419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1.456</w:t>
            </w:r>
          </w:p>
        </w:tc>
        <w:tc>
          <w:tcPr>
            <w:tcW w:type="dxa" w:w="2419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0.752</w:t>
            </w:r>
          </w:p>
        </w:tc>
        <w:tc>
          <w:tcPr>
            <w:tcW w:type="dxa" w:w="2419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0.688</w:t>
            </w:r>
          </w:p>
        </w:tc>
      </w:tr>
    </w:tbl>
    <w:p>
      <w:pPr>
        <w:spacing w:after="20"/>
      </w:pPr>
    </w:p>
    <w:p>
      <w:pPr>
        <w:keepLines w:val="0"/>
        <w:spacing w:line="336" w:lineRule="auto" w:after="120"/>
        <w:ind w:firstLine="440"/>
      </w:pPr>
      <w:r>
        <w:rPr>
          <w:rFonts w:ascii="Aptos" w:hAnsi="Aptos" w:eastAsia="Microsoft YaHei"/>
          <w:b w:val="0"/>
          <w:color w:val="000000"/>
          <w:sz w:val="22"/>
        </w:rPr>
        <w:t>在当前配置中，ARE 排序稳定为 CL-CU、CL-MU、CL-CM、CM-CU、CM，从左到右误差逐步增大。这支持两个判断：Pyramid 结构与 Minimum Update 的组合能降低当前合成流量上的计数误差；全局 CU 仍保持更低的软件估计误差。</w:t>
      </w:r>
    </w:p>
    <w:p>
      <w:pPr>
        <w:keepLines w:val="0"/>
        <w:spacing w:line="336" w:lineRule="auto" w:after="120"/>
        <w:ind w:firstLine="440"/>
      </w:pPr>
      <w:r>
        <w:rPr>
          <w:rFonts w:ascii="Aptos" w:hAnsi="Aptos" w:eastAsia="Microsoft YaHei"/>
          <w:b w:val="0"/>
          <w:color w:val="000000"/>
          <w:sz w:val="22"/>
        </w:rPr>
        <w:t>Zipf 参数增大时，本实验的 ARE 反而下降。Zipf=3.0 时约 98.8% 的 Flow 只有一个包，少数 Elephant Flow 同时占据大量包数。这说明 Zipf 参数变化也改变了流大小组成对指标的贡献。当前证据不足以将这一趋势归因于某个单一因素。</w:t>
      </w:r>
    </w:p>
    <w:p>
      <w:pPr>
        <w:pStyle w:val="Heading1"/>
        <w:keepNext/>
        <w:spacing w:before="240" w:after="120"/>
      </w:pPr>
      <w:r>
        <w:rPr>
          <w:rFonts w:ascii="Aptos" w:hAnsi="Aptos" w:eastAsia="Microsoft YaHei"/>
          <w:b/>
          <w:color w:val="000000"/>
          <w:sz w:val="32"/>
        </w:rPr>
        <w:t>5 内存敏感性</w:t>
      </w:r>
    </w:p>
    <w:p>
      <w:pPr>
        <w:keepLines w:val="0"/>
        <w:spacing w:line="336" w:lineRule="auto" w:after="120"/>
        <w:ind w:firstLine="440"/>
      </w:pPr>
      <w:r>
        <w:rPr>
          <w:rFonts w:ascii="Aptos" w:hAnsi="Aptos" w:eastAsia="Microsoft YaHei"/>
          <w:b w:val="0"/>
          <w:color w:val="000000"/>
          <w:sz w:val="22"/>
        </w:rPr>
        <w:t>内存实验固定 Zipf=2.0、100,000 packets 和 5,000 flows，只改变 Sketch 的逻辑计数器内存。内存增加后，五种算法的误差均下降，CL-MU 与 CL-CU 的绝对 ARE 差值由 0.0784 缩小到 0.0011。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39028"/>
            <wp:docPr id="1" name="Picture 1" descr="五种计数算法在 8、16、32 和 64 KB 内存下的 ARE 折线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_A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39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00" w:after="100"/>
        <w:jc w:val="center"/>
      </w:pPr>
      <w:r>
        <w:rPr>
          <w:rFonts w:ascii="Aptos" w:hAnsi="Aptos" w:eastAsia="Microsoft YaHei"/>
          <w:b w:val="0"/>
          <w:color w:val="505050"/>
          <w:sz w:val="19"/>
        </w:rPr>
        <w:t>图 1 不同内存预算下的平均相对误差</w:t>
      </w:r>
    </w:p>
    <w:p>
      <w:pPr>
        <w:keepNext/>
        <w:spacing w:before="100" w:after="100"/>
        <w:jc w:val="center"/>
      </w:pPr>
      <w:r>
        <w:rPr>
          <w:rFonts w:ascii="Aptos" w:hAnsi="Aptos" w:eastAsia="Microsoft YaHei"/>
          <w:b w:val="0"/>
          <w:color w:val="505050"/>
          <w:sz w:val="19"/>
        </w:rPr>
        <w:t>表 5 CL-MU 的内存敏感性与 CU MU 差值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584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内存</w:t>
            </w:r>
          </w:p>
        </w:tc>
        <w:tc>
          <w:tcPr>
            <w:tcW w:type="dxa" w:w="2232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CL-MU ARE</w:t>
            </w:r>
          </w:p>
        </w:tc>
        <w:tc>
          <w:tcPr>
            <w:tcW w:type="dxa" w:w="2232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Mouse FSR</w:t>
            </w:r>
          </w:p>
        </w:tc>
        <w:tc>
          <w:tcPr>
            <w:tcW w:type="dxa" w:w="3888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CL-CU 与 CL-MU ARE 差值</w:t>
            </w:r>
          </w:p>
        </w:tc>
      </w:tr>
      <w:tr>
        <w:trPr>
          <w:cantSplit/>
        </w:trPr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8 KB</w:t>
            </w:r>
          </w:p>
        </w:tc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0.7521</w:t>
            </w:r>
          </w:p>
        </w:tc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41.54%</w:t>
            </w:r>
          </w:p>
        </w:tc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0.0784</w:t>
            </w:r>
          </w:p>
        </w:tc>
      </w:tr>
      <w:tr>
        <w:trPr>
          <w:cantSplit/>
        </w:trPr>
        <w:tc>
          <w:tcPr>
            <w:tcW w:type="dxa" w:w="1584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16 KB</w:t>
            </w:r>
          </w:p>
        </w:tc>
        <w:tc>
          <w:tcPr>
            <w:tcW w:type="dxa" w:w="2232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0.2465</w:t>
            </w:r>
          </w:p>
        </w:tc>
        <w:tc>
          <w:tcPr>
            <w:tcW w:type="dxa" w:w="2232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76.39%</w:t>
            </w:r>
          </w:p>
        </w:tc>
        <w:tc>
          <w:tcPr>
            <w:tcW w:type="dxa" w:w="3888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0.0293</w:t>
            </w:r>
          </w:p>
        </w:tc>
      </w:tr>
      <w:tr>
        <w:trPr>
          <w:cantSplit/>
        </w:trPr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32 KB</w:t>
            </w:r>
          </w:p>
        </w:tc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0.0664</w:t>
            </w:r>
          </w:p>
        </w:tc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93.36%</w:t>
            </w:r>
          </w:p>
        </w:tc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0.0072</w:t>
            </w:r>
          </w:p>
        </w:tc>
      </w:tr>
      <w:tr>
        <w:trPr>
          <w:cantSplit/>
        </w:trPr>
        <w:tc>
          <w:tcPr>
            <w:tcW w:type="dxa" w:w="1584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64 KB</w:t>
            </w:r>
          </w:p>
        </w:tc>
        <w:tc>
          <w:tcPr>
            <w:tcW w:type="dxa" w:w="2232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0.0152</w:t>
            </w:r>
          </w:p>
        </w:tc>
        <w:tc>
          <w:tcPr>
            <w:tcW w:type="dxa" w:w="2232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98.46%</w:t>
            </w:r>
          </w:p>
        </w:tc>
        <w:tc>
          <w:tcPr>
            <w:tcW w:type="dxa" w:w="3888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0.0011</w:t>
            </w:r>
          </w:p>
        </w:tc>
      </w:tr>
    </w:tbl>
    <w:p>
      <w:pPr>
        <w:spacing w:after="20"/>
      </w:pPr>
    </w:p>
    <w:p>
      <w:pPr>
        <w:keepLines w:val="0"/>
        <w:spacing w:line="336" w:lineRule="auto" w:after="120"/>
        <w:ind w:firstLine="440"/>
      </w:pPr>
      <w:r>
        <w:rPr>
          <w:rFonts w:ascii="Aptos" w:hAnsi="Aptos" w:eastAsia="Microsoft YaHei"/>
          <w:b w:val="0"/>
          <w:color w:val="000000"/>
          <w:sz w:val="22"/>
        </w:rPr>
        <w:t>一种合理解释是，内存充足时计数器共享与碰撞减少，MU 的顺序更新决策更容易接近全局 CU。这一解释目前还没有通过更新次数和碰撞贡献的直接分解得到验证。</w:t>
      </w:r>
    </w:p>
    <w:p>
      <w:pPr>
        <w:pStyle w:val="Heading1"/>
        <w:keepNext/>
        <w:spacing w:before="240" w:after="120"/>
      </w:pPr>
      <w:r>
        <w:rPr>
          <w:rFonts w:ascii="Aptos" w:hAnsi="Aptos" w:eastAsia="Microsoft YaHei"/>
          <w:b/>
          <w:color w:val="000000"/>
          <w:sz w:val="32"/>
        </w:rPr>
        <w:t>6 固定内存压力测试</w:t>
      </w:r>
    </w:p>
    <w:p>
      <w:pPr>
        <w:keepLines w:val="0"/>
        <w:spacing w:line="336" w:lineRule="auto" w:after="120"/>
        <w:ind w:firstLine="440"/>
      </w:pPr>
      <w:r>
        <w:rPr>
          <w:rFonts w:ascii="Aptos" w:hAnsi="Aptos" w:eastAsia="Microsoft YaHei"/>
          <w:b w:val="0"/>
          <w:color w:val="000000"/>
          <w:sz w:val="22"/>
        </w:rPr>
        <w:t>压力测试将内存固定为 8 KB，Flow 数从 1,000 增加到 20,000。流大小组成保持为 80% 的 1-packet Flow、15% 的 10-packet Flow、4% 的 100-packet Flow 和 1% 的 1000-packet Flow。由于流数与总包数同时增加，这是整体测量负载增长实验，不能单独归因于 Cardinality。</w:t>
      </w:r>
    </w:p>
    <w:p>
      <w:pPr>
        <w:keepNext/>
        <w:spacing w:before="100" w:after="100"/>
        <w:jc w:val="center"/>
      </w:pPr>
      <w:r>
        <w:rPr>
          <w:rFonts w:ascii="Aptos" w:hAnsi="Aptos" w:eastAsia="Microsoft YaHei"/>
          <w:b w:val="0"/>
          <w:color w:val="505050"/>
          <w:sz w:val="19"/>
        </w:rPr>
        <w:t>表 6 负载增长时的 CL-CU 与 CL-MU 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160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Flow 数</w:t>
            </w:r>
          </w:p>
        </w:tc>
        <w:tc>
          <w:tcPr>
            <w:tcW w:type="dxa" w:w="2376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总包数</w:t>
            </w:r>
          </w:p>
        </w:tc>
        <w:tc>
          <w:tcPr>
            <w:tcW w:type="dxa" w:w="2376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CL-CU ARE</w:t>
            </w:r>
          </w:p>
        </w:tc>
        <w:tc>
          <w:tcPr>
            <w:tcW w:type="dxa" w:w="2376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CL-MU ARE</w:t>
            </w:r>
          </w:p>
        </w:tc>
      </w:tr>
      <w:tr>
        <w:trPr>
          <w:cantSplit/>
        </w:trPr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1,000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16,300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0.061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0.068</w:t>
            </w:r>
          </w:p>
        </w:tc>
      </w:tr>
      <w:tr>
        <w:trPr>
          <w:cantSplit/>
        </w:trPr>
        <w:tc>
          <w:tcPr>
            <w:tcW w:type="dxa" w:w="2160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2,000</w:t>
            </w:r>
          </w:p>
        </w:tc>
        <w:tc>
          <w:tcPr>
            <w:tcW w:type="dxa" w:w="2376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32,600</w:t>
            </w:r>
          </w:p>
        </w:tc>
        <w:tc>
          <w:tcPr>
            <w:tcW w:type="dxa" w:w="2376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0.304</w:t>
            </w:r>
          </w:p>
        </w:tc>
        <w:tc>
          <w:tcPr>
            <w:tcW w:type="dxa" w:w="2376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0.329</w:t>
            </w:r>
          </w:p>
        </w:tc>
      </w:tr>
      <w:tr>
        <w:trPr>
          <w:cantSplit/>
        </w:trPr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5,000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81,500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1.774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1.885</w:t>
            </w:r>
          </w:p>
        </w:tc>
      </w:tr>
      <w:tr>
        <w:trPr>
          <w:cantSplit/>
        </w:trPr>
        <w:tc>
          <w:tcPr>
            <w:tcW w:type="dxa" w:w="2160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10,000</w:t>
            </w:r>
          </w:p>
        </w:tc>
        <w:tc>
          <w:tcPr>
            <w:tcW w:type="dxa" w:w="2376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163,000</w:t>
            </w:r>
          </w:p>
        </w:tc>
        <w:tc>
          <w:tcPr>
            <w:tcW w:type="dxa" w:w="2376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5.965</w:t>
            </w:r>
          </w:p>
        </w:tc>
        <w:tc>
          <w:tcPr>
            <w:tcW w:type="dxa" w:w="2376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6.298</w:t>
            </w:r>
          </w:p>
        </w:tc>
      </w:tr>
      <w:tr>
        <w:trPr>
          <w:cantSplit/>
        </w:trPr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20,000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326,000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18.105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19.161</w:t>
            </w:r>
          </w:p>
        </w:tc>
      </w:tr>
    </w:tbl>
    <w:p>
      <w:pPr>
        <w:spacing w:after="20"/>
      </w:pP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12080" cy="3257550"/>
            <wp:docPr id="2" name="Picture 2" descr="五种算法的 ARE 随 Flow 数从 1000 增加到 20000 而上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ess_A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00" w:after="100"/>
        <w:jc w:val="center"/>
      </w:pPr>
      <w:r>
        <w:rPr>
          <w:rFonts w:ascii="Aptos" w:hAnsi="Aptos" w:eastAsia="Microsoft YaHei"/>
          <w:b w:val="0"/>
          <w:color w:val="505050"/>
          <w:sz w:val="19"/>
        </w:rPr>
        <w:t>图 2 固定 8 KB 下 ARE 随整体测量负载的变化</w:t>
      </w:r>
    </w:p>
    <w:p>
      <w:pPr>
        <w:keepLines w:val="0"/>
        <w:spacing w:line="336" w:lineRule="auto" w:after="120"/>
        <w:ind w:firstLine="440"/>
      </w:pPr>
      <w:r>
        <w:rPr>
          <w:rFonts w:ascii="Aptos" w:hAnsi="Aptos" w:eastAsia="Microsoft YaHei"/>
          <w:b w:val="0"/>
          <w:color w:val="000000"/>
          <w:sz w:val="22"/>
        </w:rPr>
        <w:t>CL-MU 的 Mouse FSR 从 95.31% 降至 3.96%，Elephant FSR 从 100% 降至 90.6%。这一分化与 Count-Less 保护较大计数值的设计动机相符，但 FSR 的严格相对误差门限也会放大极小流的失败比例。</w:t>
      </w:r>
    </w:p>
    <w:p>
      <w:pPr>
        <w:pStyle w:val="Heading1"/>
        <w:keepNext/>
        <w:spacing w:before="240" w:after="120"/>
      </w:pPr>
      <w:r>
        <w:rPr>
          <w:rFonts w:ascii="Aptos" w:hAnsi="Aptos" w:eastAsia="Microsoft YaHei"/>
          <w:b/>
          <w:color w:val="000000"/>
          <w:sz w:val="32"/>
        </w:rPr>
        <w:t>7 Flow Size 分组结果</w:t>
      </w:r>
    </w:p>
    <w:p>
      <w:pPr>
        <w:keepLines w:val="0"/>
        <w:spacing w:line="336" w:lineRule="auto" w:after="120"/>
        <w:ind w:firstLine="440"/>
      </w:pPr>
      <w:r>
        <w:rPr>
          <w:rFonts w:ascii="Aptos" w:hAnsi="Aptos" w:eastAsia="Microsoft YaHei"/>
          <w:b w:val="0"/>
          <w:color w:val="000000"/>
          <w:sz w:val="22"/>
        </w:rPr>
        <w:t>FSR 将相对误差严格小于 10% 的 Flow 判为成功。因此，1-packet 和 10-packet Flow 都不能容忍任何整数高估，100-packet Flow 则可容忍最多 9 个包的高估。总体 Mouse FSR 会同时受流大小组成和门限敏感性影响。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3378200"/>
            <wp:docPr id="3" name="Picture 3" descr="CL-MU 的 1、10 和 100-packet Flow FSR 随 Flow 数增加而下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use_group_fs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7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00" w:after="100"/>
        <w:jc w:val="center"/>
      </w:pPr>
      <w:r>
        <w:rPr>
          <w:rFonts w:ascii="Aptos" w:hAnsi="Aptos" w:eastAsia="Microsoft YaHei"/>
          <w:b w:val="0"/>
          <w:color w:val="505050"/>
          <w:sz w:val="19"/>
        </w:rPr>
        <w:t>图 3 CL-MU 在不同 Flow Size 下的 FSR</w:t>
      </w:r>
    </w:p>
    <w:p>
      <w:pPr>
        <w:keepNext/>
        <w:spacing w:before="100" w:after="100"/>
        <w:jc w:val="center"/>
      </w:pPr>
      <w:r>
        <w:rPr>
          <w:rFonts w:ascii="Aptos" w:hAnsi="Aptos" w:eastAsia="Microsoft YaHei"/>
          <w:b w:val="0"/>
          <w:color w:val="505050"/>
          <w:sz w:val="19"/>
        </w:rPr>
        <w:t>表 7 CL-MU 按 Flow Size 分组的 FSR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232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Flow 数</w:t>
            </w:r>
          </w:p>
        </w:tc>
        <w:tc>
          <w:tcPr>
            <w:tcW w:type="dxa" w:w="2448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1-packet</w:t>
            </w:r>
          </w:p>
        </w:tc>
        <w:tc>
          <w:tcPr>
            <w:tcW w:type="dxa" w:w="2448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10-packet</w:t>
            </w:r>
          </w:p>
        </w:tc>
        <w:tc>
          <w:tcPr>
            <w:tcW w:type="dxa" w:w="2448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100-packet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1,000</w:t>
            </w:r>
          </w:p>
        </w:tc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94.50%</w:t>
            </w:r>
          </w:p>
        </w:tc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98.40%</w:t>
            </w:r>
          </w:p>
        </w:tc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100.00%</w:t>
            </w:r>
          </w:p>
        </w:tc>
      </w:tr>
      <w:tr>
        <w:trPr>
          <w:cantSplit/>
        </w:trPr>
        <w:tc>
          <w:tcPr>
            <w:tcW w:type="dxa" w:w="2232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2,000</w:t>
            </w:r>
          </w:p>
        </w:tc>
        <w:tc>
          <w:tcPr>
            <w:tcW w:type="dxa" w:w="2448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80.35%</w:t>
            </w:r>
          </w:p>
        </w:tc>
        <w:tc>
          <w:tcPr>
            <w:tcW w:type="dxa" w:w="2448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92.87%</w:t>
            </w:r>
          </w:p>
        </w:tc>
        <w:tc>
          <w:tcPr>
            <w:tcW w:type="dxa" w:w="2448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100.00%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5,000</w:t>
            </w:r>
          </w:p>
        </w:tc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37.67%</w:t>
            </w:r>
          </w:p>
        </w:tc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55.41%</w:t>
            </w:r>
          </w:p>
        </w:tc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99.60%</w:t>
            </w:r>
          </w:p>
        </w:tc>
      </w:tr>
      <w:tr>
        <w:trPr>
          <w:cantSplit/>
        </w:trPr>
        <w:tc>
          <w:tcPr>
            <w:tcW w:type="dxa" w:w="2232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10,000</w:t>
            </w:r>
          </w:p>
        </w:tc>
        <w:tc>
          <w:tcPr>
            <w:tcW w:type="dxa" w:w="2448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11.63%</w:t>
            </w:r>
          </w:p>
        </w:tc>
        <w:tc>
          <w:tcPr>
            <w:tcW w:type="dxa" w:w="2448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14.96%</w:t>
            </w:r>
          </w:p>
        </w:tc>
        <w:tc>
          <w:tcPr>
            <w:tcW w:type="dxa" w:w="2448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95.05%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20,000</w:t>
            </w:r>
          </w:p>
        </w:tc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1.40%</w:t>
            </w:r>
          </w:p>
        </w:tc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1.44%</w:t>
            </w:r>
          </w:p>
        </w:tc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64.63%</w:t>
            </w:r>
          </w:p>
        </w:tc>
      </w:tr>
    </w:tbl>
    <w:p>
      <w:pPr>
        <w:spacing w:after="20"/>
      </w:pPr>
    </w:p>
    <w:p>
      <w:pPr>
        <w:keepLines w:val="0"/>
        <w:spacing w:line="336" w:lineRule="auto" w:after="120"/>
        <w:ind w:firstLine="440"/>
      </w:pPr>
      <w:r>
        <w:rPr>
          <w:rFonts w:ascii="Aptos" w:hAnsi="Aptos" w:eastAsia="Microsoft YaHei"/>
          <w:b w:val="0"/>
          <w:color w:val="000000"/>
          <w:sz w:val="22"/>
        </w:rPr>
        <w:t>20,000 Flows 时，1、10 和 100-packet Flow 的分组 ARE 分别为 23.528、2.223 和 0.135。单包流占全部 Flow 的 80%，对总体 ARE 的贡献约为 18.822，占总体 19.161 的 98.2%。因此，总体 ARE 的急剧增长主要由单包流的相对误差推动，不代表所有 Flow Size 以相同速度退化。</w:t>
      </w:r>
    </w:p>
    <w:p>
      <w:pPr>
        <w:pStyle w:val="Heading1"/>
        <w:keepNext/>
        <w:spacing w:before="240" w:after="120"/>
      </w:pPr>
      <w:r>
        <w:rPr>
          <w:rFonts w:ascii="Aptos" w:hAnsi="Aptos" w:eastAsia="Microsoft YaHei"/>
          <w:b/>
          <w:color w:val="000000"/>
          <w:sz w:val="32"/>
        </w:rPr>
        <w:t>8 100-packet Flow 的 CU MU 差距</w:t>
      </w:r>
    </w:p>
    <w:p>
      <w:pPr>
        <w:keepLines w:val="0"/>
        <w:spacing w:line="336" w:lineRule="auto" w:after="120"/>
        <w:ind w:firstLine="440"/>
      </w:pPr>
      <w:r>
        <w:rPr>
          <w:rFonts w:ascii="Aptos" w:hAnsi="Aptos" w:eastAsia="Microsoft YaHei"/>
          <w:b w:val="0"/>
          <w:color w:val="000000"/>
          <w:sz w:val="22"/>
        </w:rPr>
        <w:t>100-packet Flow 处于当前流大小组成的中间区间。它不像单包流那样在高负载下几乎全部失败，也不像 1000-packet Flow 那样仍保持很高的 FSR，因而适合观察两种更新策略的差异。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663440" cy="2798064"/>
            <wp:docPr id="4" name="Picture 4" descr="CL-CU 和 CL-MU 在 5000、10000 和 20000 Flows 下的 100-packet Flow Final FSR 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FSR_pct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798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00" w:after="100"/>
        <w:jc w:val="center"/>
      </w:pPr>
      <w:r>
        <w:rPr>
          <w:rFonts w:ascii="Aptos" w:hAnsi="Aptos" w:eastAsia="Microsoft YaHei"/>
          <w:b w:val="0"/>
          <w:color w:val="505050"/>
          <w:sz w:val="19"/>
        </w:rPr>
        <w:t>图 4 100-packet Flow 的 Final FSR 对比</w:t>
      </w:r>
    </w:p>
    <w:p>
      <w:pPr>
        <w:keepLines w:val="0"/>
        <w:spacing w:line="336" w:lineRule="auto" w:after="120"/>
        <w:ind w:firstLine="440"/>
      </w:pPr>
      <w:r>
        <w:rPr>
          <w:rFonts w:ascii="Aptos" w:hAnsi="Aptos" w:eastAsia="Microsoft YaHei"/>
          <w:b w:val="0"/>
          <w:color w:val="000000"/>
          <w:sz w:val="22"/>
        </w:rPr>
        <w:t>20,000 Flows 时，CL-CU 与 CL-MU 的 Final FSR 分别为 91.70% 和 64.63%，差距约为 27.08 个百分点。这说明总体 ARE 较接近的算法，在具体 Flow Size 上仍可能有明显不同的保真率。</w:t>
      </w:r>
    </w:p>
    <w:p>
      <w:pPr>
        <w:pStyle w:val="Heading1"/>
        <w:keepNext/>
        <w:spacing w:before="240" w:after="120"/>
      </w:pPr>
      <w:r>
        <w:rPr>
          <w:rFonts w:ascii="Aptos" w:hAnsi="Aptos" w:eastAsia="Microsoft YaHei"/>
          <w:b/>
          <w:color w:val="000000"/>
          <w:sz w:val="32"/>
        </w:rPr>
        <w:t>9 Cross-layer Rescue 诊断</w:t>
      </w:r>
    </w:p>
    <w:p>
      <w:pPr>
        <w:keepNext/>
        <w:spacing w:before="100" w:after="100"/>
        <w:jc w:val="center"/>
      </w:pPr>
      <w:r>
        <w:rPr>
          <w:rFonts w:ascii="Aptos" w:hAnsi="Aptos" w:eastAsia="Microsoft YaHei"/>
          <w:b w:val="0"/>
          <w:color w:val="505050"/>
          <w:sz w:val="19"/>
        </w:rPr>
        <w:t>表 8 20,000 Flows 下 100-packet Flow 的逐层精度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888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880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CL-CU</w:t>
            </w:r>
          </w:p>
        </w:tc>
        <w:tc>
          <w:tcPr>
            <w:tcW w:type="dxa" w:w="2880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CL-MU</w:t>
            </w:r>
          </w:p>
        </w:tc>
      </w:tr>
      <w:tr>
        <w:trPr>
          <w:cantSplit/>
        </w:trP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Layer 1 FSR</w:t>
            </w:r>
          </w:p>
        </w:tc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87.08%</w:t>
            </w:r>
          </w:p>
        </w:tc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42.10%</w:t>
            </w:r>
          </w:p>
        </w:tc>
      </w:tr>
      <w:tr>
        <w:trPr>
          <w:cantSplit/>
        </w:trPr>
        <w:tc>
          <w:tcPr>
            <w:tcW w:type="dxa" w:w="3888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Layer 2 FSR</w:t>
            </w:r>
          </w:p>
        </w:tc>
        <w:tc>
          <w:tcPr>
            <w:tcW w:type="dxa" w:w="2880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74.20%</w:t>
            </w:r>
          </w:p>
        </w:tc>
        <w:tc>
          <w:tcPr>
            <w:tcW w:type="dxa" w:w="2880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47.88%</w:t>
            </w:r>
          </w:p>
        </w:tc>
      </w:tr>
      <w:tr>
        <w:trPr>
          <w:cantSplit/>
        </w:trP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Layer 3 FSR</w:t>
            </w:r>
          </w:p>
        </w:tc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38.03%</w:t>
            </w:r>
          </w:p>
        </w:tc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16.48%</w:t>
            </w:r>
          </w:p>
        </w:tc>
      </w:tr>
      <w:tr>
        <w:trPr>
          <w:cantSplit/>
        </w:trPr>
        <w:tc>
          <w:tcPr>
            <w:tcW w:type="dxa" w:w="3888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Rescue Rate</w:t>
            </w:r>
          </w:p>
        </w:tc>
        <w:tc>
          <w:tcPr>
            <w:tcW w:type="dxa" w:w="2880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4.63%</w:t>
            </w:r>
          </w:p>
        </w:tc>
        <w:tc>
          <w:tcPr>
            <w:tcW w:type="dxa" w:w="2880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22.53%</w:t>
            </w:r>
          </w:p>
        </w:tc>
      </w:tr>
      <w:tr>
        <w:trPr>
          <w:cantSplit/>
        </w:trP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Final FSR</w:t>
            </w:r>
          </w:p>
        </w:tc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91.70%</w:t>
            </w:r>
          </w:p>
        </w:tc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64.63%</w:t>
            </w:r>
          </w:p>
        </w:tc>
      </w:tr>
      <w:tr>
        <w:trPr>
          <w:cantSplit/>
        </w:trPr>
        <w:tc>
          <w:tcPr>
            <w:tcW w:type="dxa" w:w="3888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ARE</w:t>
            </w:r>
          </w:p>
        </w:tc>
        <w:tc>
          <w:tcPr>
            <w:tcW w:type="dxa" w:w="2880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0.0589</w:t>
            </w:r>
          </w:p>
        </w:tc>
        <w:tc>
          <w:tcPr>
            <w:tcW w:type="dxa" w:w="2880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0.1346</w:t>
            </w:r>
          </w:p>
        </w:tc>
      </w:tr>
    </w:tbl>
    <w:p>
      <w:pPr>
        <w:spacing w:after="20"/>
      </w:pPr>
    </w:p>
    <w:p>
      <w:pPr>
        <w:keepLines w:val="0"/>
        <w:spacing w:line="336" w:lineRule="auto" w:after="120"/>
        <w:ind w:firstLine="440"/>
      </w:pPr>
      <w:r>
        <w:rPr>
          <w:rFonts w:ascii="Aptos" w:hAnsi="Aptos" w:eastAsia="Microsoft YaHei"/>
          <w:b w:val="0"/>
          <w:color w:val="000000"/>
          <w:sz w:val="22"/>
        </w:rPr>
        <w:t>CL-MU 的第一层 FSR 为 42.10%，最终 FSR 为 64.63%，表明高层挽救了约 22.53% 的 100-packet Flow。但更高的 Rescue Rate 不意味着 CL-MU 的挽救机制更优。在已经第一层失败的 Flow 中，CL-CU 和 CL-MU 的条件挽救比例约为 35.8% 和 38.9%，两者接近。CL-MU 的主要特征是需要高层挽救的 Flow 更多。</w:t>
      </w:r>
    </w:p>
    <w:p>
      <w:pPr>
        <w:keepLines w:val="0"/>
        <w:spacing w:line="336" w:lineRule="auto" w:after="120"/>
        <w:ind w:firstLine="440"/>
      </w:pPr>
      <w:r>
        <w:rPr>
          <w:rFonts w:ascii="Aptos" w:hAnsi="Aptos" w:eastAsia="Microsoft YaHei"/>
          <w:b w:val="0"/>
          <w:color w:val="000000"/>
          <w:sz w:val="22"/>
        </w:rPr>
        <w:t>两种方法的最大差距出现在第一层。MU 从低层向高层顺序执行，第一层只要未饱和就会更新；CU 只在第一层计数器是全局最小值时才更新它。因此，MU 的第一层可能累积更多与目标 Flow 无关的更新。目前的逐层结果与这一机制解释一致，但尚未完成严格的因果分解。</w:t>
      </w:r>
    </w:p>
    <w:p>
      <w:pPr>
        <w:pStyle w:val="Heading1"/>
        <w:keepNext/>
        <w:spacing w:before="240" w:after="120"/>
      </w:pPr>
      <w:r>
        <w:rPr>
          <w:rFonts w:ascii="Aptos" w:hAnsi="Aptos" w:eastAsia="Microsoft YaHei"/>
          <w:b/>
          <w:color w:val="000000"/>
          <w:sz w:val="32"/>
        </w:rPr>
        <w:t>10 其他观察</w:t>
      </w:r>
    </w:p>
    <w:p>
      <w:pPr>
        <w:pStyle w:val="Heading2"/>
        <w:keepNext/>
        <w:spacing w:before="180" w:after="120"/>
      </w:pPr>
      <w:r>
        <w:rPr>
          <w:rFonts w:ascii="Aptos" w:hAnsi="Aptos" w:eastAsia="Microsoft YaHei"/>
          <w:b/>
          <w:color w:val="000000"/>
          <w:sz w:val="26"/>
        </w:rPr>
        <w:t>10 1 碰撞与饱和是不同现象</w:t>
      </w:r>
    </w:p>
    <w:p>
      <w:pPr>
        <w:keepNext/>
        <w:spacing w:before="100" w:after="100"/>
        <w:jc w:val="center"/>
      </w:pPr>
      <w:r>
        <w:rPr>
          <w:rFonts w:ascii="Aptos" w:hAnsi="Aptos" w:eastAsia="Microsoft YaHei"/>
          <w:b w:val="0"/>
          <w:color w:val="505050"/>
          <w:sz w:val="19"/>
        </w:rPr>
        <w:t>表 9 第一层共享映射与饱和比例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Flow 数</w:t>
            </w:r>
          </w:p>
        </w:tc>
        <w:tc>
          <w:tcPr>
            <w:tcW w:type="dxa" w:w="4031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共享映射的 Flow</w:t>
            </w:r>
          </w:p>
        </w:tc>
        <w:tc>
          <w:tcPr>
            <w:tcW w:type="dxa" w:w="4031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饱和计数器</w:t>
            </w:r>
          </w:p>
        </w:tc>
      </w:tr>
      <w:tr>
        <w:trPr>
          <w:cantSplit/>
        </w:trPr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1,000</w:t>
            </w:r>
          </w:p>
        </w:tc>
        <w:tc>
          <w:tcPr>
            <w:tcW w:type="dxa" w:w="403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18.36%</w:t>
            </w:r>
          </w:p>
        </w:tc>
        <w:tc>
          <w:tcPr>
            <w:tcW w:type="dxa" w:w="403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0.214%</w:t>
            </w:r>
          </w:p>
        </w:tc>
      </w:tr>
      <w:tr>
        <w:trPr>
          <w:cantSplit/>
        </w:trPr>
        <w:tc>
          <w:tcPr>
            <w:tcW w:type="dxa" w:w="1944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5,000</w:t>
            </w:r>
          </w:p>
        </w:tc>
        <w:tc>
          <w:tcPr>
            <w:tcW w:type="dxa" w:w="4031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65.64%</w:t>
            </w:r>
          </w:p>
        </w:tc>
        <w:tc>
          <w:tcPr>
            <w:tcW w:type="dxa" w:w="4031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1.070%</w:t>
            </w:r>
          </w:p>
        </w:tc>
      </w:tr>
      <w:tr>
        <w:trPr>
          <w:cantSplit/>
        </w:trPr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10,000</w:t>
            </w:r>
          </w:p>
        </w:tc>
        <w:tc>
          <w:tcPr>
            <w:tcW w:type="dxa" w:w="403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88.46%</w:t>
            </w:r>
          </w:p>
        </w:tc>
        <w:tc>
          <w:tcPr>
            <w:tcW w:type="dxa" w:w="403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2.119%</w:t>
            </w:r>
          </w:p>
        </w:tc>
      </w:tr>
      <w:tr>
        <w:trPr>
          <w:cantSplit/>
        </w:trPr>
        <w:tc>
          <w:tcPr>
            <w:tcW w:type="dxa" w:w="1944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20,000</w:t>
            </w:r>
          </w:p>
        </w:tc>
        <w:tc>
          <w:tcPr>
            <w:tcW w:type="dxa" w:w="4031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98.62%</w:t>
            </w:r>
          </w:p>
        </w:tc>
        <w:tc>
          <w:tcPr>
            <w:tcW w:type="dxa" w:w="4031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4.259%</w:t>
            </w:r>
          </w:p>
        </w:tc>
      </w:tr>
    </w:tbl>
    <w:p>
      <w:pPr>
        <w:spacing w:after="20"/>
      </w:pPr>
    </w:p>
    <w:p>
      <w:pPr>
        <w:keepLines w:val="0"/>
        <w:spacing w:line="336" w:lineRule="auto" w:after="120"/>
        <w:ind w:firstLine="440"/>
      </w:pPr>
      <w:r>
        <w:rPr>
          <w:rFonts w:ascii="Aptos" w:hAnsi="Aptos" w:eastAsia="Microsoft YaHei"/>
          <w:b w:val="0"/>
          <w:color w:val="000000"/>
          <w:sz w:val="22"/>
        </w:rPr>
        <w:t>20,000 Flows 时，几乎所有 Flow 都与其他 Flow 共享第一层位置，但真正达到 8-bit 上限的计数器仅约 4.26%。碰撞会引入高估噪声，不一定造成饱和。同时，1000-packet Flow 本身就足以使低位宽计数器饱和，因此仅根据饱和率无法区分大流自身与小流碰撞的贡献。</w:t>
      </w:r>
    </w:p>
    <w:p>
      <w:pPr>
        <w:pStyle w:val="Heading2"/>
        <w:keepNext/>
        <w:spacing w:before="180" w:after="120"/>
      </w:pPr>
      <w:r>
        <w:rPr>
          <w:rFonts w:ascii="Aptos" w:hAnsi="Aptos" w:eastAsia="Microsoft YaHei"/>
          <w:b/>
          <w:color w:val="000000"/>
          <w:sz w:val="26"/>
        </w:rPr>
        <w:t>10 2 总体 ARE 优势不保证大流精度</w:t>
      </w:r>
    </w:p>
    <w:p>
      <w:pPr>
        <w:keepLines w:val="0"/>
        <w:spacing w:line="336" w:lineRule="auto" w:after="120"/>
        <w:ind w:firstLine="440"/>
      </w:pPr>
      <w:r>
        <w:rPr>
          <w:rFonts w:ascii="Aptos" w:hAnsi="Aptos" w:eastAsia="Microsoft YaHei"/>
          <w:b w:val="0"/>
          <w:color w:val="000000"/>
          <w:sz w:val="22"/>
        </w:rPr>
        <w:t>20,000 Flows 时，CM-CU、CL-CU 和 CL-MU 的 Elephant FSR 分别为 98.4%、93.6% 和 90.6%。CM-CU 在每层使用完整位宽并执行全局保守更新，可能在当前大流负载下更有利。这一推测还需要通过控制流大小组成、检查高层碰撞和资源分配来验证。</w:t>
      </w:r>
    </w:p>
    <w:p>
      <w:pPr>
        <w:pStyle w:val="Heading1"/>
        <w:keepNext/>
        <w:spacing w:before="240" w:after="120"/>
      </w:pPr>
      <w:r>
        <w:rPr>
          <w:rFonts w:ascii="Aptos" w:hAnsi="Aptos" w:eastAsia="Microsoft YaHei"/>
          <w:b/>
          <w:color w:val="000000"/>
          <w:sz w:val="32"/>
        </w:rPr>
        <w:t>11 结论与研究边界</w:t>
      </w:r>
    </w:p>
    <w:p>
      <w:pPr>
        <w:pStyle w:val="ListNumber"/>
        <w:spacing w:after="100" w:line="300" w:lineRule="auto"/>
        <w:ind w:left="403" w:hanging="288"/>
      </w:pPr>
      <w:r>
        <w:rPr>
          <w:rFonts w:ascii="Aptos" w:hAnsi="Aptos" w:eastAsia="Microsoft YaHei"/>
          <w:b w:val="0"/>
          <w:color w:val="000000"/>
          <w:sz w:val="22"/>
        </w:rPr>
        <w:t>在已测试的合成流量中，CL-MU 稳定优于 CM、CM-CU 和 CL-CM，证明 Pyramid 结构与 Minimum Update 的组合能有效降低计数误差。</w:t>
      </w:r>
    </w:p>
    <w:p>
      <w:pPr>
        <w:pStyle w:val="ListNumber"/>
        <w:spacing w:after="100" w:line="300" w:lineRule="auto"/>
        <w:ind w:left="403" w:hanging="288"/>
      </w:pPr>
      <w:r>
        <w:rPr>
          <w:rFonts w:ascii="Aptos" w:hAnsi="Aptos" w:eastAsia="Microsoft YaHei"/>
          <w:b w:val="0"/>
          <w:color w:val="000000"/>
          <w:sz w:val="22"/>
        </w:rPr>
        <w:t>CL-CU 的误差仍低于 CL-MU，表明 MU 为顺序流水线可实现性付出了可观测的精度代价。</w:t>
      </w:r>
    </w:p>
    <w:p>
      <w:pPr>
        <w:pStyle w:val="ListNumber"/>
        <w:spacing w:after="100" w:line="300" w:lineRule="auto"/>
        <w:ind w:left="403" w:hanging="288"/>
      </w:pPr>
      <w:r>
        <w:rPr>
          <w:rFonts w:ascii="Aptos" w:hAnsi="Aptos" w:eastAsia="Microsoft YaHei"/>
          <w:b w:val="0"/>
          <w:color w:val="000000"/>
          <w:sz w:val="22"/>
        </w:rPr>
        <w:t>内存增加能同时降低 CL-MU 的 ARE 并缩小其与 CL-CU 的绝对差距，说明计数器共享压力是影响精度的重要因素。</w:t>
      </w:r>
    </w:p>
    <w:p>
      <w:pPr>
        <w:pStyle w:val="ListNumber"/>
        <w:spacing w:after="100" w:line="300" w:lineRule="auto"/>
        <w:ind w:left="403" w:hanging="288"/>
      </w:pPr>
      <w:r>
        <w:rPr>
          <w:rFonts w:ascii="Aptos" w:hAnsi="Aptos" w:eastAsia="Microsoft YaHei"/>
          <w:b w:val="0"/>
          <w:color w:val="000000"/>
          <w:sz w:val="22"/>
        </w:rPr>
        <w:t>高负载下的总体 ARE 主要由大量单包流主导，所以必须同时报告 Flow Size 分组指标。</w:t>
      </w:r>
    </w:p>
    <w:p>
      <w:pPr>
        <w:pStyle w:val="ListNumber"/>
        <w:spacing w:after="100" w:line="300" w:lineRule="auto"/>
        <w:ind w:left="403" w:hanging="288"/>
      </w:pPr>
      <w:r>
        <w:rPr>
          <w:rFonts w:ascii="Aptos" w:hAnsi="Aptos" w:eastAsia="Microsoft YaHei"/>
          <w:b w:val="0"/>
          <w:color w:val="000000"/>
          <w:sz w:val="22"/>
        </w:rPr>
        <w:t>100-packet Flow 的 CU MU 差距和逐层 Rescue 结果将问题进一步定位到 MU 的顺序更新行为，但目前证据仍是相关性与机制一致性，不是因果证明。</w:t>
      </w:r>
    </w:p>
    <w:p>
      <w:pPr>
        <w:pStyle w:val="Heading1"/>
        <w:keepNext/>
        <w:spacing w:before="240" w:after="120"/>
      </w:pPr>
      <w:r>
        <w:rPr>
          <w:rFonts w:ascii="Aptos" w:hAnsi="Aptos" w:eastAsia="Microsoft YaHei"/>
          <w:b/>
          <w:color w:val="000000"/>
          <w:sz w:val="32"/>
        </w:rPr>
        <w:t>12 下一步实验</w:t>
      </w:r>
    </w:p>
    <w:p>
      <w:pPr>
        <w:keepLines w:val="0"/>
        <w:spacing w:line="336" w:lineRule="auto" w:after="120"/>
        <w:ind w:firstLine="440"/>
      </w:pPr>
      <w:r>
        <w:rPr>
          <w:rFonts w:ascii="Aptos" w:hAnsi="Aptos" w:eastAsia="Microsoft YaHei"/>
          <w:b w:val="0"/>
          <w:color w:val="000000"/>
          <w:sz w:val="22"/>
        </w:rPr>
        <w:t>下一阶段优先完成 Update Noise Decomposition。对每个数据包到达前的同一份计数器状态，同时计算全局 CU 应更新的计数器和 MU 实际更新的计数器，再按 Layer、Flow Size 和负载统计 MU 的额外写入。这一设计避免了直接比较两个长时间运行后已经分化的 Sketch 状态。</w:t>
      </w:r>
    </w:p>
    <w:p>
      <w:pPr>
        <w:pStyle w:val="ListBullet"/>
        <w:spacing w:after="80" w:line="300" w:lineRule="auto"/>
        <w:ind w:left="360" w:hanging="259"/>
      </w:pPr>
      <w:r>
        <w:rPr>
          <w:rFonts w:ascii="Aptos" w:hAnsi="Aptos" w:eastAsia="Microsoft YaHei"/>
          <w:b w:val="0"/>
          <w:color w:val="000000"/>
          <w:sz w:val="22"/>
        </w:rPr>
        <w:t>将 Flow 数和总包数分开控制，区分 Cardinality 与总更新量的影响。</w:t>
      </w:r>
    </w:p>
    <w:p>
      <w:pPr>
        <w:pStyle w:val="ListBullet"/>
        <w:spacing w:after="80" w:line="300" w:lineRule="auto"/>
        <w:ind w:left="360" w:hanging="259"/>
      </w:pPr>
      <w:r>
        <w:rPr>
          <w:rFonts w:ascii="Aptos" w:hAnsi="Aptos" w:eastAsia="Microsoft YaHei"/>
          <w:b w:val="0"/>
          <w:color w:val="000000"/>
          <w:sz w:val="22"/>
        </w:rPr>
        <w:t>区分包含 Elephant Flow 的计数器位置与仅由小流共享的位置。</w:t>
      </w:r>
    </w:p>
    <w:p>
      <w:pPr>
        <w:pStyle w:val="ListBullet"/>
        <w:spacing w:after="80" w:line="300" w:lineRule="auto"/>
        <w:ind w:left="360" w:hanging="259"/>
      </w:pPr>
      <w:r>
        <w:rPr>
          <w:rFonts w:ascii="Aptos" w:hAnsi="Aptos" w:eastAsia="Microsoft YaHei"/>
          <w:b w:val="0"/>
          <w:color w:val="000000"/>
          <w:sz w:val="22"/>
        </w:rPr>
        <w:t>加入真实 CAIDA 轨迹和更完整的 Sketch 基线，再评估结论的外推性。</w:t>
      </w:r>
    </w:p>
    <w:p>
      <w:pPr>
        <w:pStyle w:val="ListBullet"/>
        <w:spacing w:after="80" w:line="300" w:lineRule="auto"/>
        <w:ind w:left="360" w:hanging="259"/>
      </w:pPr>
      <w:r>
        <w:rPr>
          <w:rFonts w:ascii="Aptos" w:hAnsi="Aptos" w:eastAsia="Microsoft YaHei"/>
          <w:b w:val="0"/>
          <w:color w:val="000000"/>
          <w:sz w:val="22"/>
        </w:rPr>
        <w:t>若研究继续延伸到 Sketch 与异常检测，需要直接评估下游检测结果，不能从 ARE 或 FSR 直接推导检测准确率。</w:t>
      </w:r>
    </w:p>
    <w:p>
      <w:pPr>
        <w:pStyle w:val="Heading1"/>
        <w:keepNext/>
        <w:pageBreakBefore/>
        <w:spacing w:before="240" w:after="120"/>
      </w:pPr>
      <w:r>
        <w:rPr>
          <w:rFonts w:ascii="Aptos" w:hAnsi="Aptos" w:eastAsia="Microsoft YaHei"/>
          <w:b/>
          <w:color w:val="000000"/>
          <w:sz w:val="32"/>
        </w:rPr>
        <w:t>13 复现与结果对应</w:t>
      </w:r>
    </w:p>
    <w:p>
      <w:pPr>
        <w:keepNext/>
        <w:spacing w:before="100" w:after="100"/>
        <w:jc w:val="center"/>
      </w:pPr>
      <w:r>
        <w:rPr>
          <w:rFonts w:ascii="Aptos" w:hAnsi="Aptos" w:eastAsia="Microsoft YaHei"/>
          <w:b w:val="0"/>
          <w:color w:val="505050"/>
          <w:sz w:val="19"/>
        </w:rPr>
        <w:t>表 10 代码与结果目录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3384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6263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项目路径</w:t>
            </w:r>
          </w:p>
        </w:tc>
      </w:tr>
      <w:tr>
        <w:trPr>
          <w:cantSplit/>
        </w:trPr>
        <w:tc>
          <w:tcPr>
            <w:tcW w:type="dxa" w:w="33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核心实现与 Zipf 实验</w:t>
            </w:r>
          </w:p>
        </w:tc>
        <w:tc>
          <w:tcPr>
            <w:tcW w:type="dxa" w:w="6263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src/experiment.py</w:t>
            </w:r>
          </w:p>
        </w:tc>
      </w:tr>
      <w:tr>
        <w:trPr>
          <w:cantSplit/>
        </w:trPr>
        <w:tc>
          <w:tcPr>
            <w:tcW w:type="dxa" w:w="3384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固定内存压力测试</w:t>
            </w:r>
          </w:p>
        </w:tc>
        <w:tc>
          <w:tcPr>
            <w:tcW w:type="dxa" w:w="6263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src/stress_test.py</w:t>
            </w:r>
          </w:p>
        </w:tc>
      </w:tr>
      <w:tr>
        <w:trPr>
          <w:cantSplit/>
        </w:trPr>
        <w:tc>
          <w:tcPr>
            <w:tcW w:type="dxa" w:w="33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Cross-layer Rescue 诊断</w:t>
            </w:r>
          </w:p>
        </w:tc>
        <w:tc>
          <w:tcPr>
            <w:tcW w:type="dxa" w:w="6263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src/rescue_diagnostic.py</w:t>
            </w:r>
          </w:p>
        </w:tc>
      </w:tr>
      <w:tr>
        <w:trPr>
          <w:cantSplit/>
        </w:trPr>
        <w:tc>
          <w:tcPr>
            <w:tcW w:type="dxa" w:w="3384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内存敏感性结果</w:t>
            </w:r>
          </w:p>
        </w:tc>
        <w:tc>
          <w:tcPr>
            <w:tcW w:type="dxa" w:w="6263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results/02_memory_sensitivity</w:t>
            </w:r>
          </w:p>
        </w:tc>
      </w:tr>
      <w:tr>
        <w:trPr>
          <w:cantSplit/>
        </w:trPr>
        <w:tc>
          <w:tcPr>
            <w:tcW w:type="dxa" w:w="33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Flow Size 分组结果</w:t>
            </w:r>
          </w:p>
        </w:tc>
        <w:tc>
          <w:tcPr>
            <w:tcW w:type="dxa" w:w="6263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results/03_stress_test</w:t>
            </w:r>
          </w:p>
        </w:tc>
      </w:tr>
      <w:tr>
        <w:trPr>
          <w:cantSplit/>
        </w:trPr>
        <w:tc>
          <w:tcPr>
            <w:tcW w:type="dxa" w:w="3384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Rescue 分析结果</w:t>
            </w:r>
          </w:p>
        </w:tc>
        <w:tc>
          <w:tcPr>
            <w:tcW w:type="dxa" w:w="6263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results/04_rescue_analysis</w:t>
            </w:r>
          </w:p>
        </w:tc>
      </w:tr>
      <w:tr>
        <w:trPr>
          <w:cantSplit/>
        </w:trPr>
        <w:tc>
          <w:tcPr>
            <w:tcW w:type="dxa" w:w="33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旧线性哈希结果</w:t>
            </w:r>
          </w:p>
        </w:tc>
        <w:tc>
          <w:tcPr>
            <w:tcW w:type="dxa" w:w="6263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results/99_legacy</w:t>
            </w:r>
          </w:p>
        </w:tc>
      </w:tr>
    </w:tbl>
    <w:p>
      <w:pPr>
        <w:spacing w:after="20"/>
      </w:pPr>
    </w:p>
    <w:p>
      <w:pPr>
        <w:keepLines w:val="0"/>
        <w:spacing w:line="336" w:lineRule="auto" w:after="120"/>
        <w:ind w:firstLine="440"/>
      </w:pPr>
      <w:r>
        <w:rPr>
          <w:rFonts w:ascii="Aptos" w:hAnsi="Aptos" w:eastAsia="Microsoft YaHei"/>
          <w:b w:val="0"/>
          <w:color w:val="000000"/>
          <w:sz w:val="22"/>
        </w:rPr>
        <w:t>三个脚本均从项目根目录运行，新生成的文件会写入各自的 results 子目录。正式分析应使用 SplitMix64 结果，results/99_legacy 仅用于保留哈希异常的调试证据。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b w:val="0"/>
        <w:color w:val="505050"/>
        <w:sz w:val="18"/>
      </w:rPr>
      <w:t xml:space="preserve">Count-Less 复现实验总结  |  第 </w:t>
    </w:r>
    <w:r>
      <w:rPr>
        <w:rFonts w:ascii="Aptos" w:hAnsi="Aptos" w:eastAsia="Microsoft YaHei"/>
        <w:b w:val="0"/>
        <w:color w:val="505050"/>
        <w:sz w:val="18"/>
      </w:rPr>
      <w:fldChar w:fldCharType="begin"/>
      <w:instrText xml:space="preserve">PAGE</w:instrText>
      <w:fldChar w:fldCharType="end"/>
    </w:r>
    <w:r>
      <w:rPr>
        <w:rFonts w:ascii="Aptos" w:hAnsi="Aptos" w:eastAsia="Microsoft YaHei"/>
        <w:b w:val="0"/>
        <w:color w:val="50505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Aptos" w:hAnsi="Aptos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Count-Less 软件复现实验总结</dc:title>
  <dc:subject>Count-Less 核心更新机制、压力测试与跨层诊断</dc:subject>
  <dc:creator/>
  <cp:keywords>Count-Less, Count-Min, Minimum Update, Conservative Update, Sketch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