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D7164A">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sidR="00AF1EAF">
              <w:rPr>
                <w:noProof/>
                <w:webHidden/>
              </w:rPr>
              <w:fldChar w:fldCharType="begin"/>
            </w:r>
            <w:r w:rsidR="00AF1EAF">
              <w:rPr>
                <w:noProof/>
                <w:webHidden/>
              </w:rPr>
              <w:instrText xml:space="preserve"> PAGEREF _Toc369037060 \h </w:instrText>
            </w:r>
            <w:r w:rsidR="00AF1EAF">
              <w:rPr>
                <w:noProof/>
                <w:webHidden/>
              </w:rPr>
            </w:r>
            <w:r w:rsidR="00AF1EAF">
              <w:rPr>
                <w:noProof/>
                <w:webHidden/>
              </w:rPr>
              <w:fldChar w:fldCharType="separate"/>
            </w:r>
            <w:r w:rsidR="00AF1EAF">
              <w:rPr>
                <w:noProof/>
                <w:webHidden/>
              </w:rPr>
              <w:t>3</w:t>
            </w:r>
            <w:r w:rsidR="00AF1EAF">
              <w:rPr>
                <w:noProof/>
                <w:webHidden/>
              </w:rPr>
              <w:fldChar w:fldCharType="end"/>
            </w:r>
          </w:hyperlink>
        </w:p>
        <w:p w:rsidR="00AF1EAF" w:rsidRDefault="00AF1EAF">
          <w:pPr>
            <w:pStyle w:val="TOC1"/>
            <w:tabs>
              <w:tab w:val="left" w:pos="440"/>
              <w:tab w:val="right" w:leader="dot" w:pos="9350"/>
            </w:tabs>
            <w:rPr>
              <w:noProof/>
            </w:rPr>
          </w:pPr>
          <w:hyperlink w:anchor="_Toc369037061" w:history="1">
            <w:r w:rsidRPr="00257FAA">
              <w:rPr>
                <w:rStyle w:val="Hyperlink"/>
                <w:noProof/>
              </w:rPr>
              <w:t>2.</w:t>
            </w:r>
            <w:r>
              <w:rPr>
                <w:noProof/>
              </w:rPr>
              <w:tab/>
            </w:r>
            <w:r w:rsidRPr="00257FAA">
              <w:rPr>
                <w:rStyle w:val="Hyperlink"/>
                <w:noProof/>
              </w:rPr>
              <w:t>Nomenclature</w:t>
            </w:r>
            <w:r>
              <w:rPr>
                <w:noProof/>
                <w:webHidden/>
              </w:rPr>
              <w:tab/>
            </w:r>
            <w:r>
              <w:rPr>
                <w:noProof/>
                <w:webHidden/>
              </w:rPr>
              <w:fldChar w:fldCharType="begin"/>
            </w:r>
            <w:r>
              <w:rPr>
                <w:noProof/>
                <w:webHidden/>
              </w:rPr>
              <w:instrText xml:space="preserve"> PAGEREF _Toc369037061 \h </w:instrText>
            </w:r>
            <w:r>
              <w:rPr>
                <w:noProof/>
                <w:webHidden/>
              </w:rPr>
            </w:r>
            <w:r>
              <w:rPr>
                <w:noProof/>
                <w:webHidden/>
              </w:rPr>
              <w:fldChar w:fldCharType="separate"/>
            </w:r>
            <w:r>
              <w:rPr>
                <w:noProof/>
                <w:webHidden/>
              </w:rPr>
              <w:t>4</w:t>
            </w:r>
            <w:r>
              <w:rPr>
                <w:noProof/>
                <w:webHidden/>
              </w:rPr>
              <w:fldChar w:fldCharType="end"/>
            </w:r>
          </w:hyperlink>
        </w:p>
        <w:p w:rsidR="00AF1EAF" w:rsidRDefault="00AF1EAF">
          <w:pPr>
            <w:pStyle w:val="TOC1"/>
            <w:tabs>
              <w:tab w:val="left" w:pos="440"/>
              <w:tab w:val="right" w:leader="dot" w:pos="9350"/>
            </w:tabs>
            <w:rPr>
              <w:noProof/>
            </w:rPr>
          </w:pPr>
          <w:hyperlink w:anchor="_Toc369037062" w:history="1">
            <w:r w:rsidRPr="00257FAA">
              <w:rPr>
                <w:rStyle w:val="Hyperlink"/>
                <w:noProof/>
              </w:rPr>
              <w:t>3.</w:t>
            </w:r>
            <w:r>
              <w:rPr>
                <w:noProof/>
              </w:rPr>
              <w:tab/>
            </w:r>
            <w:r w:rsidRPr="00257FAA">
              <w:rPr>
                <w:rStyle w:val="Hyperlink"/>
                <w:noProof/>
              </w:rPr>
              <w:t>Introduction</w:t>
            </w:r>
            <w:r>
              <w:rPr>
                <w:noProof/>
                <w:webHidden/>
              </w:rPr>
              <w:tab/>
            </w:r>
            <w:r>
              <w:rPr>
                <w:noProof/>
                <w:webHidden/>
              </w:rPr>
              <w:fldChar w:fldCharType="begin"/>
            </w:r>
            <w:r>
              <w:rPr>
                <w:noProof/>
                <w:webHidden/>
              </w:rPr>
              <w:instrText xml:space="preserve"> PAGEREF _Toc369037062 \h </w:instrText>
            </w:r>
            <w:r>
              <w:rPr>
                <w:noProof/>
                <w:webHidden/>
              </w:rPr>
            </w:r>
            <w:r>
              <w:rPr>
                <w:noProof/>
                <w:webHidden/>
              </w:rPr>
              <w:fldChar w:fldCharType="separate"/>
            </w:r>
            <w:r>
              <w:rPr>
                <w:noProof/>
                <w:webHidden/>
              </w:rPr>
              <w:t>6</w:t>
            </w:r>
            <w:r>
              <w:rPr>
                <w:noProof/>
                <w:webHidden/>
              </w:rPr>
              <w:fldChar w:fldCharType="end"/>
            </w:r>
          </w:hyperlink>
        </w:p>
        <w:p w:rsidR="005C1F27" w:rsidRPr="00AF1EAF" w:rsidRDefault="00D7164A">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D7164A"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AF1EA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Pr="00AF1EAF">
        <w:rPr>
          <w:rFonts w:ascii="Times New Roman" w:eastAsiaTheme="minorEastAsia" w:hAnsi="Times New Roman" w:cs="Times New Roman"/>
          <w:i/>
        </w:rPr>
        <w:t xml:space="preserve"> </w:t>
      </w:r>
      <w:r w:rsidRPr="00AF1EAF">
        <w:rPr>
          <w:rFonts w:ascii="Times New Roman" w:eastAsiaTheme="minorEastAsia" w:hAnsi="Times New Roman" w:cs="Times New Roman"/>
        </w:rPr>
        <w:tab/>
      </w:r>
      <w:r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AF1EA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P</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Ambient Pressure</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T</w:t>
      </w:r>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Temperature</w:t>
      </w:r>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93110"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93110"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r>
              <m:rPr>
                <m:sty m:val="p"/>
              </m:rPr>
              <w:rPr>
                <w:rFonts w:ascii="Cambria Math" w:hAnsi="Cambria Math" w:cs="Times New Roman"/>
              </w:rPr>
              <m:t>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r>
              <m:rPr>
                <m:sty m:val="p"/>
              </m:rPr>
              <w:rPr>
                <w:rFonts w:ascii="Cambria Math" w:hAnsi="Cambria Math" w:cs="Times New Roman"/>
              </w:rPr>
              <m:t xml:space="preserve"> No</m:t>
            </m:r>
            <m:r>
              <m:rPr>
                <m:sty m:val="p"/>
              </m:rPr>
              <w:rPr>
                <w:rFonts w:ascii="Cambria Math" w:hAnsi="Cambria Math" w:cs="Times New Roman"/>
              </w:rPr>
              <m:t xml:space="preserve"> WInd</m:t>
            </m:r>
            <m:r>
              <m:rPr>
                <m:sty m:val="p"/>
              </m:rPr>
              <w:rPr>
                <w:rFonts w:ascii="Cambria Math" w:hAnsi="Cambria Math" w:cs="Times New Roman"/>
              </w:rPr>
              <m:t xml:space="preserve">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that are found based</w:t>
      </w:r>
      <w:r w:rsidR="003E7767">
        <w:rPr>
          <w:rFonts w:ascii="Times New Roman" w:eastAsiaTheme="minorEastAsia" w:hAnsi="Times New Roman" w:cs="Times New Roman"/>
        </w:rPr>
        <w:t xml:space="preserve"> on the graphs listed in Figure</w:t>
      </w:r>
      <w:r w:rsidR="0017393E">
        <w:rPr>
          <w:rFonts w:ascii="Times New Roman" w:eastAsiaTheme="minorEastAsia" w:hAnsi="Times New Roman" w:cs="Times New Roman"/>
        </w:rPr>
        <w:t xml:space="preserve"> 3-2 below. </w:t>
      </w:r>
    </w:p>
    <w:p w:rsidR="0017393E" w:rsidRDefault="007C04E9" w:rsidP="0017393E">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sb</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m:rPr>
                    <m:sty m:val="p"/>
                  </m:rPr>
                  <w:rPr>
                    <w:rFonts w:ascii="Cambria Math" w:eastAsiaTheme="minorEastAsia" w:hAnsi="Cambria Math" w:cs="Times New Roman"/>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f>
                  <m:fPr>
                    <m:ctrlPr>
                      <w:rPr>
                        <w:rFonts w:ascii="Cambria Math" w:eastAsiaTheme="minorEastAsia" w:hAnsi="Cambria Math" w:cs="Times New Roman"/>
                      </w:rPr>
                    </m:ctrlPr>
                  </m:fPr>
                  <m:num>
                    <m:r>
                      <m:rPr>
                        <m:sty m:val="p"/>
                      </m:rPr>
                      <w:rPr>
                        <w:rFonts w:ascii="Cambria Math" w:eastAsiaTheme="minorEastAsia" w:hAnsi="Cambria Math" w:cs="Times New Roman"/>
                      </w:rPr>
                      <m:t>3</m:t>
                    </m:r>
                  </m:num>
                  <m:den>
                    <m:r>
                      <m:rPr>
                        <m:sty m:val="p"/>
                      </m:rPr>
                      <w:rPr>
                        <w:rFonts w:ascii="Cambria Math" w:eastAsiaTheme="minorEastAsia" w:hAnsi="Cambria Math" w:cs="Times New Roman"/>
                      </w:rPr>
                      <m:t>2</m:t>
                    </m:r>
                  </m:den>
                </m:f>
              </m:sup>
            </m:sSup>
          </m:den>
        </m:f>
      </m:oMath>
      <w:r>
        <w:rPr>
          <w:rFonts w:ascii="Times New Roman" w:eastAsiaTheme="minorEastAsia" w:hAnsi="Times New Roman" w:cs="Times New Roman"/>
        </w:rPr>
        <w:t xml:space="preserve"> </w:t>
      </w:r>
    </w:p>
    <w:p w:rsidR="007C04E9" w:rsidRDefault="007C04E9" w:rsidP="007C04E9">
      <w:pPr>
        <w:jc w:val="right"/>
        <w:rPr>
          <w:rFonts w:ascii="Times New Roman" w:eastAsiaTheme="minorEastAsia" w:hAnsi="Times New Roman" w:cs="Times New Roman"/>
        </w:rPr>
      </w:pPr>
      <w:r>
        <w:rPr>
          <w:rFonts w:ascii="Times New Roman" w:eastAsiaTheme="minorEastAsia" w:hAnsi="Times New Roman" w:cs="Times New Roman"/>
        </w:rPr>
        <w:t>(3)</w:t>
      </w:r>
    </w:p>
    <w:p w:rsidR="003E7767" w:rsidRDefault="003E7767" w:rsidP="003E7767">
      <w:pPr>
        <w:jc w:val="both"/>
        <w:rPr>
          <w:rFonts w:ascii="Times New Roman" w:eastAsiaTheme="minorEastAsia" w:hAnsi="Times New Roman" w:cs="Times New Roman"/>
        </w:rPr>
      </w:pPr>
      <w:r>
        <w:rPr>
          <w:rFonts w:ascii="Times New Roman" w:eastAsiaTheme="minorEastAsia" w:hAnsi="Times New Roman" w:cs="Times New Roman"/>
        </w:rPr>
        <w:t>The way that these K</w:t>
      </w:r>
      <w:r>
        <w:rPr>
          <w:rFonts w:ascii="Times New Roman" w:eastAsiaTheme="minorEastAsia" w:hAnsi="Times New Roman" w:cs="Times New Roman"/>
          <w:vertAlign w:val="subscript"/>
        </w:rPr>
        <w:t>1</w:t>
      </w:r>
      <w:r>
        <w:rPr>
          <w:rFonts w:ascii="Times New Roman" w:eastAsiaTheme="minorEastAsia" w:hAnsi="Times New Roman" w:cs="Times New Roman"/>
        </w:rPr>
        <w:t>, K</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w:t>
      </w:r>
      <w:r>
        <w:rPr>
          <w:rFonts w:ascii="Calibri" w:eastAsiaTheme="minorEastAsia" w:hAnsi="Calibri" w:cs="Times New Roman"/>
        </w:rPr>
        <w:t>τ</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rPr>
          <w:rFonts w:ascii="Times New Roman" w:eastAsiaTheme="minorEastAsia" w:hAnsi="Times New Roman" w:cs="Times New Roman"/>
        </w:rPr>
        <w:t>the graph on the left, it can be assumed that the airfoil used on a given model is of the 4 digit series variety, while the contour chosen on the right depended on the ratio of the test section width to its height.</w:t>
      </w:r>
    </w:p>
    <w:p w:rsidR="003E7767" w:rsidRDefault="003E7767" w:rsidP="003E7767">
      <w:pPr>
        <w:jc w:val="center"/>
        <w:rPr>
          <w:rFonts w:ascii="Times New Roman" w:eastAsiaTheme="minorEastAsia" w:hAnsi="Times New Roman" w:cs="Times New Roman"/>
        </w:rPr>
      </w:pPr>
      <m:oMath>
        <m:r>
          <m:rPr>
            <m:sty m:val="p"/>
          </m:rPr>
          <w:rPr>
            <w:rFonts w:ascii="Cambria Math" w:eastAsiaTheme="minorEastAsia" w:hAnsi="Cambria Math" w:cs="Times New Roman"/>
          </w:rPr>
          <m:t>Thickenss Ratio=</m:t>
        </m:r>
        <m:f>
          <m:fPr>
            <m:ctrlPr>
              <w:rPr>
                <w:rFonts w:ascii="Cambria Math" w:eastAsiaTheme="minorEastAsia" w:hAnsi="Cambria Math" w:cs="Times New Roman"/>
              </w:rPr>
            </m:ctrlPr>
          </m:fPr>
          <m:num>
            <m:r>
              <m:rPr>
                <m:sty m:val="p"/>
              </m:rPr>
              <w:rPr>
                <w:rFonts w:ascii="Cambria Math" w:eastAsiaTheme="minorEastAsia" w:hAnsi="Cambria Math" w:cs="Times New Roman"/>
              </w:rPr>
              <m:t>t</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E7767" w:rsidRDefault="003E7767" w:rsidP="003E7767">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r>
              <m:rPr>
                <m:sty m:val="p"/>
              </m:rPr>
              <w:rPr>
                <w:rFonts w:ascii="Cambria Math" w:eastAsiaTheme="minorEastAsia" w:hAnsi="Cambria Math" w:cs="Times New Roman"/>
              </w:rPr>
              <m:t>B</m:t>
            </m:r>
          </m:den>
        </m:f>
      </m:oMath>
      <w:r>
        <w:rPr>
          <w:rFonts w:ascii="Times New Roman" w:eastAsiaTheme="minorEastAsia" w:hAnsi="Times New Roman" w:cs="Times New Roman"/>
        </w:rPr>
        <w:t xml:space="preserve"> </w:t>
      </w:r>
    </w:p>
    <w:p w:rsidR="003E7767" w:rsidRPr="003E7767" w:rsidRDefault="003E7767" w:rsidP="003E7767">
      <w:pPr>
        <w:jc w:val="right"/>
        <w:rPr>
          <w:rFonts w:ascii="Times New Roman" w:eastAsiaTheme="minorEastAsia" w:hAnsi="Times New Roman" w:cs="Times New Roman"/>
        </w:rPr>
      </w:pPr>
      <w:r>
        <w:rPr>
          <w:rFonts w:ascii="Times New Roman" w:eastAsiaTheme="minorEastAsia" w:hAnsi="Times New Roman" w:cs="Times New Roman"/>
        </w:rPr>
        <w:t>(4</w:t>
      </w:r>
      <w:proofErr w:type="gramStart"/>
      <w:r>
        <w:rPr>
          <w:rFonts w:ascii="Times New Roman" w:eastAsiaTheme="minorEastAsia" w:hAnsi="Times New Roman" w:cs="Times New Roman"/>
        </w:rPr>
        <w:t>,5</w:t>
      </w:r>
      <w:proofErr w:type="gramEnd"/>
      <w:r>
        <w:rPr>
          <w:rFonts w:ascii="Times New Roman" w:eastAsiaTheme="minorEastAsia" w:hAnsi="Times New Roman" w:cs="Times New Roman"/>
        </w:rPr>
        <w:t>)</w:t>
      </w:r>
    </w:p>
    <w:tbl>
      <w:tblPr>
        <w:tblStyle w:val="TableGrid"/>
        <w:tblW w:w="10007" w:type="dxa"/>
        <w:tblLook w:val="04A0"/>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sidRPr="003E7767">
              <w:rPr>
                <w:rFonts w:ascii="Times New Roman" w:eastAsiaTheme="minorEastAsia" w:hAnsi="Times New Roman" w:cs="Times New Roman"/>
              </w:rPr>
              <w:lastRenderedPageBreak/>
              <w:drawing>
                <wp:inline distT="0" distB="0" distL="0" distR="0">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hAnsi="Times New Roman" w:cs="Times New Roman"/>
                <w:b/>
              </w:rPr>
              <w:t>Figure 3-2. K</w:t>
            </w:r>
            <w:r>
              <w:rPr>
                <w:rFonts w:ascii="Times New Roman" w:hAnsi="Times New Roman" w:cs="Times New Roman"/>
                <w:b/>
                <w:vertAlign w:val="subscript"/>
              </w:rPr>
              <w:t>1</w:t>
            </w:r>
            <w:r>
              <w:rPr>
                <w:rFonts w:ascii="Times New Roman" w:hAnsi="Times New Roman" w:cs="Times New Roman"/>
                <w:b/>
              </w:rPr>
              <w:t xml:space="preserve"> , </w:t>
            </w:r>
            <w:r>
              <w:rPr>
                <w:rFonts w:ascii="Calibri" w:hAnsi="Calibri" w:cs="Times New Roman"/>
                <w:b/>
              </w:rPr>
              <w:t>τ</w:t>
            </w:r>
            <w:r>
              <w:rPr>
                <w:rFonts w:ascii="Calibri" w:hAnsi="Calibri" w:cs="Times New Roman"/>
                <w:b/>
                <w:vertAlign w:val="subscript"/>
              </w:rPr>
              <w:t>1</w:t>
            </w:r>
            <w:r>
              <w:rPr>
                <w:rFonts w:ascii="Calibri" w:hAnsi="Calibri" w:cs="Times New Roman"/>
                <w:b/>
              </w:rPr>
              <w:t xml:space="preserve">, </w:t>
            </w:r>
            <w:r>
              <w:rPr>
                <w:rFonts w:ascii="Times New Roman" w:hAnsi="Times New Roman" w:cs="Times New Roman"/>
                <w:b/>
              </w:rPr>
              <w:t>and K</w:t>
            </w:r>
            <w:r>
              <w:rPr>
                <w:rFonts w:ascii="Times New Roman" w:hAnsi="Times New Roman" w:cs="Times New Roman"/>
                <w:b/>
                <w:vertAlign w:val="subscript"/>
              </w:rPr>
              <w:t>3</w:t>
            </w:r>
            <w:r>
              <w:rPr>
                <w:rFonts w:ascii="Times New Roman" w:hAnsi="Times New Roman" w:cs="Times New Roman"/>
                <w:b/>
              </w:rPr>
              <w:t xml:space="preserve"> Calculation Charts</w:t>
            </w:r>
          </w:p>
        </w:tc>
      </w:tr>
    </w:tbl>
    <w:p w:rsidR="007C04E9" w:rsidRPr="007C04E9" w:rsidRDefault="007C04E9" w:rsidP="003E7767">
      <w:pPr>
        <w:jc w:val="center"/>
        <w:rPr>
          <w:rFonts w:ascii="Times New Roman" w:eastAsiaTheme="minorEastAsia" w:hAnsi="Times New Roman" w:cs="Times New Roman"/>
        </w:rPr>
      </w:pPr>
    </w:p>
    <w:sectPr w:rsidR="007C04E9" w:rsidRPr="007C04E9"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E78" w:rsidRDefault="00820E78" w:rsidP="00DC6A4A">
      <w:pPr>
        <w:spacing w:after="0" w:line="240" w:lineRule="auto"/>
      </w:pPr>
      <w:r>
        <w:separator/>
      </w:r>
    </w:p>
  </w:endnote>
  <w:endnote w:type="continuationSeparator" w:id="0">
    <w:p w:rsidR="00820E78" w:rsidRDefault="00820E78"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E78" w:rsidRDefault="00820E78" w:rsidP="00DC6A4A">
      <w:pPr>
        <w:spacing w:after="0" w:line="240" w:lineRule="auto"/>
      </w:pPr>
      <w:r>
        <w:separator/>
      </w:r>
    </w:p>
  </w:footnote>
  <w:footnote w:type="continuationSeparator" w:id="0">
    <w:p w:rsidR="00820E78" w:rsidRDefault="00820E78"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17393E"/>
    <w:rsid w:val="002C3765"/>
    <w:rsid w:val="003E7767"/>
    <w:rsid w:val="00457067"/>
    <w:rsid w:val="00593110"/>
    <w:rsid w:val="005C1F27"/>
    <w:rsid w:val="005E4FAB"/>
    <w:rsid w:val="007C04E9"/>
    <w:rsid w:val="008020D9"/>
    <w:rsid w:val="00820E78"/>
    <w:rsid w:val="00891B19"/>
    <w:rsid w:val="009570B4"/>
    <w:rsid w:val="00A46998"/>
    <w:rsid w:val="00AF1EAF"/>
    <w:rsid w:val="00C91316"/>
    <w:rsid w:val="00CD14E1"/>
    <w:rsid w:val="00D7164A"/>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05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E758B81B-DCC5-4688-B546-9E6A61AA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7</cp:revision>
  <dcterms:created xsi:type="dcterms:W3CDTF">2013-10-09T03:23:00Z</dcterms:created>
  <dcterms:modified xsi:type="dcterms:W3CDTF">2013-10-09T17:37:00Z</dcterms:modified>
</cp:coreProperties>
</file>