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FAB" w:rsidRDefault="00BF41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Results</w:t>
      </w:r>
    </w:p>
    <w:p w:rsidR="00BF41A8" w:rsidRDefault="00DF43F7" w:rsidP="00BF41A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experiment, pressure measurements at two separate points (P1 and P2), compressor shaft RPM measurements (N), and force measurements (Scale Reading) were collected for three separate back plate configurations.</w:t>
      </w:r>
      <w:r w:rsidR="00543882">
        <w:rPr>
          <w:rFonts w:ascii="Times New Roman" w:hAnsi="Times New Roman" w:cs="Times New Roman"/>
        </w:rPr>
        <w:t xml:space="preserve"> The static pressure and temperature of the room were also recorded, for use in finding the density of the air in Oliver Hall.</w:t>
      </w:r>
      <w:r>
        <w:rPr>
          <w:rFonts w:ascii="Times New Roman" w:hAnsi="Times New Roman" w:cs="Times New Roman"/>
        </w:rPr>
        <w:t xml:space="preserve"> Each pressure measurement</w:t>
      </w:r>
      <w:r w:rsidR="00543882">
        <w:rPr>
          <w:rFonts w:ascii="Times New Roman" w:hAnsi="Times New Roman" w:cs="Times New Roman"/>
        </w:rPr>
        <w:t xml:space="preserve"> (besides the static pressure of Oliver Hall)</w:t>
      </w:r>
      <w:r>
        <w:rPr>
          <w:rFonts w:ascii="Times New Roman" w:hAnsi="Times New Roman" w:cs="Times New Roman"/>
        </w:rPr>
        <w:t xml:space="preserve"> was recorded in inches of water, with the former being a measurement of the pressure difference between the atmosphere and the larger of the two tube diameters within the compressor, and the latter being a measurement of the pressure difference between the smaller of the two tube diameters within the compressor and the first pressure reading.</w:t>
      </w:r>
      <w:r w:rsidR="00543882">
        <w:rPr>
          <w:rFonts w:ascii="Times New Roman" w:hAnsi="Times New Roman" w:cs="Times New Roman"/>
        </w:rPr>
        <w:t xml:space="preserve"> </w:t>
      </w:r>
    </w:p>
    <w:p w:rsidR="00543882" w:rsidRDefault="00543882" w:rsidP="00BF41A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these values collected, the shaft horse power of the compressor was calculated through the use of Equation (1) below:</w:t>
      </w:r>
    </w:p>
    <w:p w:rsidR="00BF41A8" w:rsidRDefault="00543882" w:rsidP="00BF41A8">
      <w:pPr>
        <w:spacing w:after="120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HP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Scale Reading</m:t>
            </m:r>
          </m:num>
          <m:den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4000</m:t>
                    </m:r>
                  </m:den>
                </m:f>
              </m:e>
            </m:d>
          </m:den>
        </m:f>
      </m:oMath>
      <w:r w:rsidR="00CB00D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</w:p>
    <w:p w:rsidR="00BF41A8" w:rsidRDefault="00BF41A8" w:rsidP="00BF41A8">
      <w:pPr>
        <w:spacing w:after="120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(1)</w:t>
      </w:r>
    </w:p>
    <w:p w:rsidR="00BF41A8" w:rsidRDefault="00543882" w:rsidP="00BF41A8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value, whose units were in horse power, was then converted to W through the use of Equation (2) below:</w:t>
      </w:r>
    </w:p>
    <w:p w:rsidR="00BF41A8" w:rsidRDefault="00543882" w:rsidP="00BF41A8">
      <w:pPr>
        <w:spacing w:after="120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HP×550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ft∙lb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den>
        </m:f>
        <m:r>
          <w:rPr>
            <w:rFonts w:ascii="Cambria Math" w:eastAsiaTheme="minorEastAsia" w:hAnsi="Cambria Math" w:cs="Times New Roman"/>
          </w:rPr>
          <m:t>×1.3558</m:t>
        </m:r>
      </m:oMath>
      <w:r w:rsidR="00CB00D5">
        <w:rPr>
          <w:rFonts w:ascii="Times New Roman" w:eastAsiaTheme="minorEastAsia" w:hAnsi="Times New Roman" w:cs="Times New Roman"/>
        </w:rPr>
        <w:t xml:space="preserve"> </w:t>
      </w:r>
      <w:r w:rsidR="00B60AE3">
        <w:rPr>
          <w:rFonts w:ascii="Times New Roman" w:eastAsiaTheme="minorEastAsia" w:hAnsi="Times New Roman" w:cs="Times New Roman"/>
        </w:rPr>
        <w:t xml:space="preserve"> </w:t>
      </w:r>
    </w:p>
    <w:p w:rsidR="00B60AE3" w:rsidRDefault="00B60AE3" w:rsidP="00B60AE3">
      <w:pPr>
        <w:spacing w:after="120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(2)</w:t>
      </w:r>
    </w:p>
    <w:p w:rsidR="00E97333" w:rsidRDefault="00543882" w:rsidP="00FD6724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Once this was completed, the pressure values, which were recorded in inches of water, were converted to </w:t>
      </w:r>
      <w:proofErr w:type="spellStart"/>
      <w:r>
        <w:rPr>
          <w:rFonts w:ascii="Times New Roman" w:eastAsiaTheme="minorEastAsia" w:hAnsi="Times New Roman" w:cs="Times New Roman"/>
        </w:rPr>
        <w:t>Pascals</w:t>
      </w:r>
      <w:proofErr w:type="spellEnd"/>
      <w:r>
        <w:rPr>
          <w:rFonts w:ascii="Times New Roman" w:eastAsiaTheme="minorEastAsia" w:hAnsi="Times New Roman" w:cs="Times New Roman"/>
        </w:rPr>
        <w:t xml:space="preserve"> through the use of Equation (3) below:</w:t>
      </w:r>
    </w:p>
    <w:p w:rsidR="00543882" w:rsidRDefault="00543882" w:rsidP="00543882">
      <w:pPr>
        <w:spacing w:after="120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P=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H20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gh</m:t>
        </m:r>
      </m:oMath>
      <w:r w:rsidRPr="00543882">
        <w:rPr>
          <w:rFonts w:ascii="Times New Roman" w:eastAsiaTheme="minorEastAsia" w:hAnsi="Times New Roman" w:cs="Times New Roman"/>
        </w:rPr>
        <w:t xml:space="preserve"> </w:t>
      </w:r>
    </w:p>
    <w:p w:rsidR="00543882" w:rsidRPr="00543882" w:rsidRDefault="00543882" w:rsidP="00543882">
      <w:pPr>
        <w:spacing w:after="120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(3)</w:t>
      </w:r>
    </w:p>
    <w:p w:rsidR="00E97333" w:rsidRDefault="00543882" w:rsidP="00FD6724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H20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density of water (1000 kg/m</w:t>
      </w:r>
      <w:r>
        <w:rPr>
          <w:rFonts w:ascii="Times New Roman" w:eastAsiaTheme="minorEastAsia" w:hAnsi="Times New Roman" w:cs="Times New Roman"/>
          <w:vertAlign w:val="superscript"/>
        </w:rPr>
        <w:t>3</w:t>
      </w:r>
      <w:r>
        <w:rPr>
          <w:rFonts w:ascii="Times New Roman" w:eastAsiaTheme="minorEastAsia" w:hAnsi="Times New Roman" w:cs="Times New Roman"/>
        </w:rPr>
        <w:t>), h is the height of the water in meters, and g is the acceleration of gravity (9.81 m/s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 xml:space="preserve">). </w:t>
      </w:r>
    </w:p>
    <w:p w:rsidR="00543882" w:rsidRPr="00543882" w:rsidRDefault="00543882" w:rsidP="00FD6724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With all of these values calculated, the flow rate through the compressor was then found. This was accomplished by assuming a different </w:t>
      </w:r>
      <w:proofErr w:type="spellStart"/>
      <w:r>
        <w:rPr>
          <w:rFonts w:ascii="Times New Roman" w:eastAsiaTheme="minorEastAsia" w:hAnsi="Times New Roman" w:cs="Times New Roman"/>
        </w:rPr>
        <w:t>Reynold’s</w:t>
      </w:r>
      <w:proofErr w:type="spellEnd"/>
      <w:r>
        <w:rPr>
          <w:rFonts w:ascii="Times New Roman" w:eastAsiaTheme="minorEastAsia" w:hAnsi="Times New Roman" w:cs="Times New Roman"/>
        </w:rPr>
        <w:t xml:space="preserve"> Number for each RPM increment in each trial. Based on this </w:t>
      </w:r>
      <w:proofErr w:type="spellStart"/>
      <w:r>
        <w:rPr>
          <w:rFonts w:ascii="Times New Roman" w:eastAsiaTheme="minorEastAsia" w:hAnsi="Times New Roman" w:cs="Times New Roman"/>
        </w:rPr>
        <w:t>Reynold’s</w:t>
      </w:r>
      <w:proofErr w:type="spellEnd"/>
      <w:r>
        <w:rPr>
          <w:rFonts w:ascii="Times New Roman" w:eastAsiaTheme="minorEastAsia" w:hAnsi="Times New Roman" w:cs="Times New Roman"/>
        </w:rPr>
        <w:t xml:space="preserve"> Number, a coefficient of drag was calculated for each trial based on Equation (4) below:</w:t>
      </w:r>
    </w:p>
    <w:p w:rsidR="00E97333" w:rsidRPr="00A30063" w:rsidRDefault="00A30063" w:rsidP="00E97333">
      <w:pPr>
        <w:spacing w:after="120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=0.5959+0.0312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2.1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-0.184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0.029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2.5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Re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0.09</m:t>
            </m:r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5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-0.037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 w:rsidR="00BD5365" w:rsidRPr="00A30063">
        <w:rPr>
          <w:rFonts w:ascii="Times New Roman" w:eastAsiaTheme="minorEastAsia" w:hAnsi="Times New Roman" w:cs="Times New Roman"/>
        </w:rPr>
        <w:t xml:space="preserve"> </w:t>
      </w:r>
    </w:p>
    <w:p w:rsidR="00BD5365" w:rsidRPr="00BD5365" w:rsidRDefault="00543882" w:rsidP="00BD5365">
      <w:pPr>
        <w:spacing w:after="120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(4</w:t>
      </w:r>
      <w:r w:rsidR="00BD5365">
        <w:rPr>
          <w:rFonts w:ascii="Times New Roman" w:eastAsiaTheme="minorEastAsia" w:hAnsi="Times New Roman" w:cs="Times New Roman"/>
        </w:rPr>
        <w:t>)</w:t>
      </w:r>
    </w:p>
    <w:p w:rsidR="00A30063" w:rsidRDefault="00A30063" w:rsidP="00FD6724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Where β is given as 0.5 and L</w:t>
      </w:r>
      <w:r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>, the location of P</w:t>
      </w:r>
      <w:r>
        <w:rPr>
          <w:rFonts w:ascii="Times New Roman" w:eastAsiaTheme="minorEastAsia" w:hAnsi="Times New Roman" w:cs="Times New Roman"/>
          <w:vertAlign w:val="subscript"/>
        </w:rPr>
        <w:t>T2</w:t>
      </w:r>
      <w:r>
        <w:rPr>
          <w:rFonts w:ascii="Times New Roman" w:eastAsiaTheme="minorEastAsia" w:hAnsi="Times New Roman" w:cs="Times New Roman"/>
        </w:rPr>
        <w:t xml:space="preserve"> is 0.5. The results of this work are listed in Table (1) on the following page.</w:t>
      </w:r>
    </w:p>
    <w:p w:rsidR="00FD6724" w:rsidRDefault="00A30063" w:rsidP="00FD6724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value was then used to calculate the volume flow rate through the compressor, as described in Equation (5) below:</w:t>
      </w:r>
    </w:p>
    <w:p w:rsidR="00A30063" w:rsidRDefault="00A30063" w:rsidP="00A30063">
      <w:pPr>
        <w:spacing w:after="120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Q=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ρ</m:t>
                </m:r>
              </m:den>
            </m:f>
          </m:e>
        </m:rad>
        <m:rad>
          <m:radPr>
            <m:degHide m:val="1"/>
            <m:ctrlPr>
              <w:rPr>
                <w:rFonts w:ascii="Cambria Math" w:eastAsiaTheme="minorEastAsia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β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p>
                </m:sSup>
              </m:den>
            </m:f>
          </m:e>
        </m:rad>
      </m:oMath>
      <w:r>
        <w:rPr>
          <w:rFonts w:ascii="Times New Roman" w:eastAsiaTheme="minorEastAsia" w:hAnsi="Times New Roman" w:cs="Times New Roman"/>
        </w:rPr>
        <w:t xml:space="preserve"> </w:t>
      </w:r>
      <w:r w:rsidRPr="00A3006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</w:p>
    <w:p w:rsidR="00A30063" w:rsidRDefault="00A30063" w:rsidP="00A30063">
      <w:pPr>
        <w:spacing w:after="120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(5)</w:t>
      </w:r>
    </w:p>
    <w:p w:rsidR="00A30063" w:rsidRDefault="00A30063" w:rsidP="00A30063">
      <w:pPr>
        <w:spacing w:after="120"/>
        <w:jc w:val="both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Where A</w:t>
      </w:r>
      <w:r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 xml:space="preserve"> is the smallest area within the compressor, which was found to be 0.041 m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>.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</w:p>
    <w:p w:rsidR="00A30063" w:rsidRDefault="00A30063" w:rsidP="00A30063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Power Output of the compressor (P</w:t>
      </w:r>
      <w:r>
        <w:rPr>
          <w:rFonts w:ascii="Times New Roman" w:eastAsiaTheme="minorEastAsia" w:hAnsi="Times New Roman" w:cs="Times New Roman"/>
          <w:vertAlign w:val="subscript"/>
        </w:rPr>
        <w:t>o</w:t>
      </w:r>
      <w:r>
        <w:rPr>
          <w:rFonts w:ascii="Times New Roman" w:eastAsiaTheme="minorEastAsia" w:hAnsi="Times New Roman" w:cs="Times New Roman"/>
        </w:rPr>
        <w:t>) was then found by multiplying Q by P</w:t>
      </w:r>
      <w:r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 xml:space="preserve">. </w:t>
      </w:r>
      <w:r w:rsidR="00CB00D5">
        <w:rPr>
          <w:rFonts w:ascii="Times New Roman" w:eastAsiaTheme="minorEastAsia" w:hAnsi="Times New Roman" w:cs="Times New Roman"/>
        </w:rPr>
        <w:t>With all of these values calculated, the coefficients associated with the flow through the compressor were then found through the use of Equations (6-9) below:</w:t>
      </w:r>
    </w:p>
    <w:p w:rsidR="00CB00D5" w:rsidRPr="00CB00D5" w:rsidRDefault="00CB00D5" w:rsidP="00CB00D5">
      <w:pPr>
        <w:spacing w:after="120"/>
        <w:jc w:val="center"/>
        <w:rPr>
          <w:rFonts w:ascii="Times New Roman" w:eastAsiaTheme="minorEastAsia" w:hAnsi="Times New Roman" w:cs="Times New Roman"/>
        </w:rPr>
      </w:pPr>
      <w:r w:rsidRPr="00CB00D5">
        <w:rPr>
          <w:rFonts w:ascii="Times New Roman" w:eastAsiaTheme="minorEastAsia" w:hAnsi="Times New Roman" w:cs="Times New Roman"/>
        </w:rPr>
        <w:t xml:space="preserve">Power Coefficient: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ρ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2πN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60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</m:t>
                </m:r>
              </m:sup>
            </m:sSup>
          </m:den>
        </m:f>
      </m:oMath>
      <w:r w:rsidRPr="00CB00D5">
        <w:rPr>
          <w:rFonts w:ascii="Times New Roman" w:eastAsiaTheme="minorEastAsia" w:hAnsi="Times New Roman" w:cs="Times New Roman"/>
        </w:rPr>
        <w:t xml:space="preserve">  </w:t>
      </w:r>
    </w:p>
    <w:p w:rsidR="00CB00D5" w:rsidRPr="00CB00D5" w:rsidRDefault="00CB00D5" w:rsidP="00CB00D5">
      <w:pPr>
        <w:spacing w:after="120"/>
        <w:jc w:val="center"/>
        <w:rPr>
          <w:rFonts w:ascii="Times New Roman" w:eastAsiaTheme="minorEastAsia" w:hAnsi="Times New Roman" w:cs="Times New Roman"/>
        </w:rPr>
      </w:pPr>
      <w:r w:rsidRPr="00CB00D5">
        <w:rPr>
          <w:rFonts w:ascii="Times New Roman" w:eastAsiaTheme="minorEastAsia" w:hAnsi="Times New Roman" w:cs="Times New Roman"/>
        </w:rPr>
        <w:t xml:space="preserve">Pressure Coefficient: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ρ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2πN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60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:rsidR="00CB00D5" w:rsidRPr="00CB00D5" w:rsidRDefault="00CB00D5" w:rsidP="00CB00D5">
      <w:pPr>
        <w:spacing w:after="120"/>
        <w:jc w:val="center"/>
        <w:rPr>
          <w:rFonts w:ascii="Times New Roman" w:eastAsiaTheme="minorEastAsia" w:hAnsi="Times New Roman" w:cs="Times New Roman"/>
        </w:rPr>
      </w:pPr>
      <w:r w:rsidRPr="00CB00D5">
        <w:rPr>
          <w:rFonts w:ascii="Times New Roman" w:eastAsiaTheme="minorEastAsia" w:hAnsi="Times New Roman" w:cs="Times New Roman"/>
        </w:rPr>
        <w:t xml:space="preserve">Flow Coefficient: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num>
          <m:den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2πN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60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p>
            </m:sSup>
          </m:den>
        </m:f>
      </m:oMath>
    </w:p>
    <w:p w:rsidR="00CB00D5" w:rsidRDefault="00CB00D5" w:rsidP="00CB00D5">
      <w:pPr>
        <w:spacing w:after="120"/>
        <w:jc w:val="center"/>
        <w:rPr>
          <w:rFonts w:ascii="Times New Roman" w:eastAsiaTheme="minorEastAsia" w:hAnsi="Times New Roman" w:cs="Times New Roman"/>
        </w:rPr>
      </w:pPr>
      <w:proofErr w:type="spellStart"/>
      <w:r w:rsidRPr="00CB00D5">
        <w:rPr>
          <w:rFonts w:ascii="Times New Roman" w:eastAsiaTheme="minorEastAsia" w:hAnsi="Times New Roman" w:cs="Times New Roman"/>
        </w:rPr>
        <w:t>Reynold’s</w:t>
      </w:r>
      <w:proofErr w:type="spellEnd"/>
      <w:r w:rsidRPr="00CB00D5">
        <w:rPr>
          <w:rFonts w:ascii="Times New Roman" w:eastAsiaTheme="minorEastAsia" w:hAnsi="Times New Roman" w:cs="Times New Roman"/>
        </w:rPr>
        <w:t xml:space="preserve"> Number: </w:t>
      </w:r>
      <m:oMath>
        <m:r>
          <m:rPr>
            <m:sty m:val="p"/>
          </m:rPr>
          <w:rPr>
            <w:rFonts w:ascii="Cambria Math" w:hAnsi="Cambria Math" w:cs="Times New Roman"/>
          </w:rPr>
          <m:t>Re=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μ</m:t>
            </m:r>
          </m:den>
        </m:f>
      </m:oMath>
    </w:p>
    <w:p w:rsidR="00CB00D5" w:rsidRDefault="00CB00D5" w:rsidP="00CB00D5">
      <w:pPr>
        <w:spacing w:after="120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(6-9)</w:t>
      </w:r>
    </w:p>
    <w:p w:rsidR="001E227C" w:rsidRDefault="00CB00D5" w:rsidP="00CB00D5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Where µ is the kinematic viscosity of air, for which a value of 1.983 x 10</w:t>
      </w:r>
      <w:r>
        <w:rPr>
          <w:rFonts w:ascii="Times New Roman" w:eastAsiaTheme="minorEastAsia" w:hAnsi="Times New Roman" w:cs="Times New Roman"/>
          <w:vertAlign w:val="superscript"/>
        </w:rPr>
        <w:t>-5</w:t>
      </w:r>
      <w:r>
        <w:rPr>
          <w:rFonts w:ascii="Times New Roman" w:eastAsiaTheme="minorEastAsia" w:hAnsi="Times New Roman" w:cs="Times New Roman"/>
        </w:rPr>
        <w:t xml:space="preserve"> kg/</w:t>
      </w:r>
      <w:proofErr w:type="spellStart"/>
      <w:r>
        <w:rPr>
          <w:rFonts w:ascii="Times New Roman" w:eastAsiaTheme="minorEastAsia" w:hAnsi="Times New Roman" w:cs="Times New Roman"/>
        </w:rPr>
        <w:t>ms</w:t>
      </w:r>
      <w:proofErr w:type="spellEnd"/>
      <w:r>
        <w:rPr>
          <w:rFonts w:ascii="Times New Roman" w:eastAsiaTheme="minorEastAsia" w:hAnsi="Times New Roman" w:cs="Times New Roman"/>
        </w:rPr>
        <w:t xml:space="preserve"> was used. Once the Re of each trial was found, the initial Re used to calculated C</w:t>
      </w:r>
      <w:r>
        <w:rPr>
          <w:rFonts w:ascii="Times New Roman" w:eastAsiaTheme="minorEastAsia" w:hAnsi="Times New Roman" w:cs="Times New Roman"/>
          <w:vertAlign w:val="subscript"/>
        </w:rPr>
        <w:t>D</w:t>
      </w:r>
      <w:r>
        <w:rPr>
          <w:rFonts w:ascii="Times New Roman" w:eastAsiaTheme="minorEastAsia" w:hAnsi="Times New Roman" w:cs="Times New Roman"/>
        </w:rPr>
        <w:t xml:space="preserve"> was changed until the two </w:t>
      </w:r>
      <w:proofErr w:type="spellStart"/>
      <w:r>
        <w:rPr>
          <w:rFonts w:ascii="Times New Roman" w:eastAsiaTheme="minorEastAsia" w:hAnsi="Times New Roman" w:cs="Times New Roman"/>
        </w:rPr>
        <w:t>Re’s</w:t>
      </w:r>
      <w:proofErr w:type="spellEnd"/>
      <w:r>
        <w:rPr>
          <w:rFonts w:ascii="Times New Roman" w:eastAsiaTheme="minorEastAsia" w:hAnsi="Times New Roman" w:cs="Times New Roman"/>
        </w:rPr>
        <w:t xml:space="preserve"> were reasonably close for each case (Within 1000 of each other). </w:t>
      </w:r>
      <w:r w:rsidR="0011567D">
        <w:rPr>
          <w:rFonts w:ascii="Times New Roman" w:eastAsiaTheme="minorEastAsia" w:hAnsi="Times New Roman" w:cs="Times New Roman"/>
        </w:rPr>
        <w:t xml:space="preserve">The final efficiency for each trial (η) was then found by dividing the output power by the input power. </w:t>
      </w:r>
    </w:p>
    <w:p w:rsidR="00CB00D5" w:rsidRDefault="00CB00D5" w:rsidP="00CB00D5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Tables 4-1 through 4-3 list all of the data collected, used, and collected over the course of the experiment.</w:t>
      </w:r>
    </w:p>
    <w:p w:rsidR="00CB00D5" w:rsidRDefault="00CB00D5" w:rsidP="00CB00D5">
      <w:pPr>
        <w:spacing w:after="0"/>
        <w:jc w:val="center"/>
        <w:rPr>
          <w:rFonts w:ascii="Times New Roman" w:eastAsiaTheme="minorEastAsia" w:hAnsi="Times New Roman" w:cs="Times New Roman"/>
          <w:b/>
        </w:rPr>
      </w:pPr>
      <w:proofErr w:type="gramStart"/>
      <w:r>
        <w:rPr>
          <w:rFonts w:ascii="Times New Roman" w:eastAsiaTheme="minorEastAsia" w:hAnsi="Times New Roman" w:cs="Times New Roman"/>
          <w:b/>
        </w:rPr>
        <w:t>Table 4-1.</w:t>
      </w:r>
      <w:proofErr w:type="gramEnd"/>
      <w:r>
        <w:rPr>
          <w:rFonts w:ascii="Times New Roman" w:eastAsiaTheme="minorEastAsia" w:hAnsi="Times New Roman" w:cs="Times New Roman"/>
          <w:b/>
        </w:rPr>
        <w:t xml:space="preserve"> Shaft RPM, Force, Power, and Compressor Pressures</w:t>
      </w:r>
    </w:p>
    <w:tbl>
      <w:tblPr>
        <w:tblW w:w="9920" w:type="dxa"/>
        <w:tblInd w:w="93" w:type="dxa"/>
        <w:tblLook w:val="04A0" w:firstRow="1" w:lastRow="0" w:firstColumn="1" w:lastColumn="0" w:noHBand="0" w:noVBand="1"/>
      </w:tblPr>
      <w:tblGrid>
        <w:gridCol w:w="1139"/>
        <w:gridCol w:w="958"/>
        <w:gridCol w:w="1779"/>
        <w:gridCol w:w="1900"/>
        <w:gridCol w:w="1900"/>
        <w:gridCol w:w="846"/>
        <w:gridCol w:w="1398"/>
      </w:tblGrid>
      <w:tr w:rsidR="00CB00D5" w:rsidRPr="00CB00D5" w:rsidTr="00FF3C1C">
        <w:trPr>
          <w:trHeight w:val="31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CB00D5" w:rsidRPr="00CB00D5" w:rsidRDefault="00CB00D5" w:rsidP="00FF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B00D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Test No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CB00D5" w:rsidRPr="00CB00D5" w:rsidRDefault="00CB00D5" w:rsidP="00FF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B00D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 (RPM)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CB00D5" w:rsidRPr="00CB00D5" w:rsidRDefault="00FF3C1C" w:rsidP="00FF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Back Plate Location</w:t>
            </w:r>
            <w:r w:rsidR="00CB00D5" w:rsidRPr="00CB00D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(in)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CB00D5" w:rsidRPr="00CB00D5" w:rsidRDefault="00CB00D5" w:rsidP="00FF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B00D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Scale Reading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CB00D5" w:rsidRPr="00CB00D5" w:rsidRDefault="00CB00D5" w:rsidP="00FF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B00D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HP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CB00D5" w:rsidRPr="00CB00D5" w:rsidRDefault="00CB00D5" w:rsidP="00FF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B00D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PT1 (m)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CB00D5" w:rsidRPr="00CB00D5" w:rsidRDefault="00CB00D5" w:rsidP="00FF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B00D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PT2 (m)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631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0.078875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0.0089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0.0000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1204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1.75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0.52675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0.0356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0.0000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1823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3.9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1.777425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0.0978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0.0000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625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0.078125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0.0089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0.0025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1227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1.6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0.4908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0.0394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0.0127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1809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3.6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1.6281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0.0991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0.0330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625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0.015625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0.0089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0.0051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1286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0.41795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0.0432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0.0203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1812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1.1325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0.0914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0.0419</w:t>
            </w:r>
          </w:p>
        </w:tc>
      </w:tr>
    </w:tbl>
    <w:p w:rsidR="00CB00D5" w:rsidRDefault="00CB00D5" w:rsidP="00CB00D5">
      <w:pPr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:rsidR="0011567D" w:rsidRDefault="0011567D" w:rsidP="0011567D">
      <w:pPr>
        <w:spacing w:after="0"/>
        <w:jc w:val="center"/>
        <w:rPr>
          <w:rFonts w:ascii="Times New Roman" w:eastAsiaTheme="minorEastAsia" w:hAnsi="Times New Roman" w:cs="Times New Roman"/>
          <w:b/>
        </w:rPr>
      </w:pPr>
      <w:proofErr w:type="gramStart"/>
      <w:r>
        <w:rPr>
          <w:rFonts w:ascii="Times New Roman" w:eastAsiaTheme="minorEastAsia" w:hAnsi="Times New Roman" w:cs="Times New Roman"/>
          <w:b/>
        </w:rPr>
        <w:t xml:space="preserve">Table </w:t>
      </w:r>
      <w:r>
        <w:rPr>
          <w:rFonts w:ascii="Times New Roman" w:eastAsiaTheme="minorEastAsia" w:hAnsi="Times New Roman" w:cs="Times New Roman"/>
          <w:b/>
        </w:rPr>
        <w:t>4-2</w:t>
      </w:r>
      <w:r>
        <w:rPr>
          <w:rFonts w:ascii="Times New Roman" w:eastAsiaTheme="minorEastAsia" w:hAnsi="Times New Roman" w:cs="Times New Roman"/>
          <w:b/>
        </w:rPr>
        <w:t>.</w:t>
      </w:r>
      <w:proofErr w:type="gramEnd"/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  <w:b/>
        </w:rPr>
        <w:t>Room Pressure and Temperature, Density, Kinematic Viscosity, and Airflow Parameters</w:t>
      </w:r>
    </w:p>
    <w:tbl>
      <w:tblPr>
        <w:tblW w:w="5013" w:type="dxa"/>
        <w:tblInd w:w="2718" w:type="dxa"/>
        <w:tblLook w:val="04A0" w:firstRow="1" w:lastRow="0" w:firstColumn="1" w:lastColumn="0" w:noHBand="0" w:noVBand="1"/>
      </w:tblPr>
      <w:tblGrid>
        <w:gridCol w:w="2700"/>
        <w:gridCol w:w="2313"/>
      </w:tblGrid>
      <w:tr w:rsidR="00BA687A" w:rsidRPr="0011567D" w:rsidTr="00BA687A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</w:tcPr>
          <w:p w:rsidR="00BA687A" w:rsidRPr="00BA687A" w:rsidRDefault="00BA687A" w:rsidP="00B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BA687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</w:tcPr>
          <w:p w:rsidR="00BA687A" w:rsidRPr="00BA687A" w:rsidRDefault="00BA687A" w:rsidP="00B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Value</w:t>
            </w:r>
          </w:p>
        </w:tc>
      </w:tr>
      <w:tr w:rsidR="0011567D" w:rsidRPr="0011567D" w:rsidTr="0011567D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Temp (K)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RANGE!L2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294.1</w:t>
            </w:r>
            <w:bookmarkEnd w:id="0"/>
          </w:p>
        </w:tc>
      </w:tr>
      <w:tr w:rsidR="0011567D" w:rsidRPr="0011567D" w:rsidTr="0011567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Static Pressure (Pa)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" w:name="RANGE!L3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100250</w:t>
            </w:r>
            <w:bookmarkEnd w:id="1"/>
          </w:p>
        </w:tc>
      </w:tr>
      <w:tr w:rsidR="0011567D" w:rsidRPr="0011567D" w:rsidTr="0011567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Air Density (kg/m^3)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2" w:name="RANGE!L4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1.1877</w:t>
            </w:r>
            <w:bookmarkEnd w:id="2"/>
          </w:p>
        </w:tc>
      </w:tr>
      <w:tr w:rsidR="0011567D" w:rsidRPr="0011567D" w:rsidTr="0011567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Water Density (kg/m^3)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3" w:name="RANGE!L5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  <w:bookmarkEnd w:id="3"/>
          </w:p>
        </w:tc>
      </w:tr>
      <w:tr w:rsidR="0011567D" w:rsidRPr="0011567D" w:rsidTr="0011567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μ (kg/m s)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4" w:name="RANGE!L6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0.00001983</w:t>
            </w:r>
            <w:bookmarkEnd w:id="4"/>
          </w:p>
        </w:tc>
      </w:tr>
      <w:tr w:rsidR="0011567D" w:rsidRPr="0011567D" w:rsidTr="00566DD3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lastRenderedPageBreak/>
              <w:t>A2 (m^2)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5" w:name="RANGE!L7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0.041</w:t>
            </w:r>
            <w:bookmarkEnd w:id="5"/>
          </w:p>
        </w:tc>
      </w:tr>
      <w:tr w:rsidR="0011567D" w:rsidRPr="0011567D" w:rsidTr="00566DD3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β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6" w:name="RANGE!L8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  <w:bookmarkEnd w:id="6"/>
          </w:p>
        </w:tc>
      </w:tr>
      <w:tr w:rsidR="0011567D" w:rsidRPr="0011567D" w:rsidTr="00566DD3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(N~600)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7" w:name="RANGE!L9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210000</w:t>
            </w:r>
            <w:bookmarkEnd w:id="7"/>
          </w:p>
        </w:tc>
      </w:tr>
      <w:tr w:rsidR="0011567D" w:rsidRPr="0011567D" w:rsidTr="0011567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Re2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(N~1200)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8" w:name="RANGE!L10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430000</w:t>
            </w:r>
            <w:bookmarkEnd w:id="8"/>
          </w:p>
        </w:tc>
      </w:tr>
      <w:tr w:rsidR="0011567D" w:rsidRPr="0011567D" w:rsidTr="0011567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Re3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(N~1800)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9" w:name="RANGE!L11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690000</w:t>
            </w:r>
            <w:bookmarkEnd w:id="9"/>
          </w:p>
        </w:tc>
      </w:tr>
      <w:tr w:rsidR="0011567D" w:rsidRPr="0011567D" w:rsidTr="0011567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(N~600)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0" w:name="RANGE!L12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0.630</w:t>
            </w:r>
            <w:bookmarkEnd w:id="10"/>
          </w:p>
        </w:tc>
      </w:tr>
      <w:tr w:rsidR="0011567D" w:rsidRPr="0011567D" w:rsidTr="0011567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Cd2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(N~1200)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1" w:name="RANGE!L13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0.618</w:t>
            </w:r>
            <w:bookmarkEnd w:id="11"/>
          </w:p>
        </w:tc>
      </w:tr>
      <w:tr w:rsidR="0011567D" w:rsidRPr="0011567D" w:rsidTr="0011567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Cd3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(N~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1800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2" w:name="RANGE!L14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0.613</w:t>
            </w:r>
            <w:bookmarkEnd w:id="12"/>
          </w:p>
        </w:tc>
      </w:tr>
    </w:tbl>
    <w:p w:rsidR="0011567D" w:rsidRDefault="0011567D" w:rsidP="0011567D">
      <w:pPr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:rsidR="0011567D" w:rsidRDefault="0011567D" w:rsidP="0011567D">
      <w:pPr>
        <w:spacing w:after="0"/>
        <w:jc w:val="center"/>
        <w:rPr>
          <w:rFonts w:ascii="Times New Roman" w:eastAsiaTheme="minorEastAsia" w:hAnsi="Times New Roman" w:cs="Times New Roman"/>
          <w:b/>
        </w:rPr>
      </w:pPr>
      <w:proofErr w:type="gramStart"/>
      <w:r>
        <w:rPr>
          <w:rFonts w:ascii="Times New Roman" w:eastAsiaTheme="minorEastAsia" w:hAnsi="Times New Roman" w:cs="Times New Roman"/>
          <w:b/>
        </w:rPr>
        <w:t xml:space="preserve">Table </w:t>
      </w:r>
      <w:r>
        <w:rPr>
          <w:rFonts w:ascii="Times New Roman" w:eastAsiaTheme="minorEastAsia" w:hAnsi="Times New Roman" w:cs="Times New Roman"/>
          <w:b/>
        </w:rPr>
        <w:t>4-3</w:t>
      </w:r>
      <w:r>
        <w:rPr>
          <w:rFonts w:ascii="Times New Roman" w:eastAsiaTheme="minorEastAsia" w:hAnsi="Times New Roman" w:cs="Times New Roman"/>
          <w:b/>
        </w:rPr>
        <w:t>.</w:t>
      </w:r>
      <w:proofErr w:type="gramEnd"/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  <w:b/>
        </w:rPr>
        <w:t>Airflow Coefficients for Each Back Plate Configuration</w:t>
      </w:r>
    </w:p>
    <w:tbl>
      <w:tblPr>
        <w:tblW w:w="10116" w:type="dxa"/>
        <w:tblInd w:w="93" w:type="dxa"/>
        <w:tblLook w:val="04A0" w:firstRow="1" w:lastRow="0" w:firstColumn="1" w:lastColumn="0" w:noHBand="0" w:noVBand="1"/>
      </w:tblPr>
      <w:tblGrid>
        <w:gridCol w:w="1338"/>
        <w:gridCol w:w="1123"/>
        <w:gridCol w:w="2087"/>
        <w:gridCol w:w="2230"/>
        <w:gridCol w:w="2230"/>
        <w:gridCol w:w="1108"/>
      </w:tblGrid>
      <w:tr w:rsidR="0011567D" w:rsidRPr="0011567D" w:rsidTr="0011567D">
        <w:trPr>
          <w:trHeight w:val="316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11567D" w:rsidRPr="0011567D" w:rsidRDefault="0011567D" w:rsidP="00115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Test No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11567D" w:rsidRPr="0011567D" w:rsidRDefault="0011567D" w:rsidP="00115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Cw</w:t>
            </w:r>
            <w:proofErr w:type="spellEnd"/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11567D" w:rsidRPr="0011567D" w:rsidRDefault="0011567D" w:rsidP="00115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Cp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11567D" w:rsidRPr="0011567D" w:rsidRDefault="0011567D" w:rsidP="00115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Cq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11567D" w:rsidRPr="0011567D" w:rsidRDefault="0011567D" w:rsidP="00115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11567D" w:rsidRPr="0011567D" w:rsidRDefault="0011567D" w:rsidP="00115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η</w:t>
            </w:r>
          </w:p>
        </w:tc>
      </w:tr>
      <w:tr w:rsidR="0011567D" w:rsidRPr="0011567D" w:rsidTr="0011567D">
        <w:trPr>
          <w:trHeight w:val="316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0.000375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0.0805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0.051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216041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1567D" w:rsidRPr="0011567D" w:rsidTr="0011567D">
        <w:trPr>
          <w:trHeight w:val="316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0.000361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0.0884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0.053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423520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1567D" w:rsidRPr="0011567D" w:rsidTr="0011567D">
        <w:trPr>
          <w:trHeight w:val="316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0.000351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0.1060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0.057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697223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1567D" w:rsidRPr="0011567D" w:rsidTr="0011567D">
        <w:trPr>
          <w:trHeight w:val="316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0.000383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0.0820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0.052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216041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0.139</w:t>
            </w:r>
          </w:p>
        </w:tc>
      </w:tr>
      <w:tr w:rsidR="0011567D" w:rsidRPr="0011567D" w:rsidTr="0011567D">
        <w:trPr>
          <w:trHeight w:val="316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0.000318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0.0942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0.054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445632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0.227</w:t>
            </w:r>
          </w:p>
        </w:tc>
      </w:tr>
      <w:tr w:rsidR="0011567D" w:rsidRPr="0011567D" w:rsidTr="0011567D">
        <w:trPr>
          <w:trHeight w:val="316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0.000329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0.1091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0.058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701736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0.281</w:t>
            </w:r>
          </w:p>
        </w:tc>
      </w:tr>
      <w:tr w:rsidR="0011567D" w:rsidRPr="0011567D" w:rsidTr="0011567D">
        <w:trPr>
          <w:trHeight w:val="316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0.000077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0.0820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0.052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216041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1.385</w:t>
            </w:r>
          </w:p>
        </w:tc>
      </w:tr>
      <w:tr w:rsidR="0011567D" w:rsidRPr="0011567D" w:rsidTr="0011567D">
        <w:trPr>
          <w:trHeight w:val="316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0.000235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0.0941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0.054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466697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0.447</w:t>
            </w:r>
          </w:p>
        </w:tc>
      </w:tr>
      <w:tr w:rsidR="0011567D" w:rsidRPr="0011567D" w:rsidTr="0011567D">
        <w:trPr>
          <w:trHeight w:val="316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0.000228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0.1004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0.056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674206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0.492</w:t>
            </w:r>
          </w:p>
        </w:tc>
      </w:tr>
    </w:tbl>
    <w:p w:rsidR="0011567D" w:rsidRDefault="0011567D" w:rsidP="0011567D">
      <w:pPr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:rsidR="001E227C" w:rsidRDefault="001E227C" w:rsidP="001E227C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Discussion of </w:t>
      </w:r>
      <w:r>
        <w:rPr>
          <w:rFonts w:ascii="Times New Roman" w:hAnsi="Times New Roman" w:cs="Times New Roman"/>
          <w:b/>
          <w:sz w:val="28"/>
          <w:szCs w:val="28"/>
        </w:rPr>
        <w:t>Results</w:t>
      </w:r>
    </w:p>
    <w:p w:rsidR="001E227C" w:rsidRDefault="00566DD3" w:rsidP="001E227C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data listed in Tables 4-1 through 4-3, several different parameters were plotted with respect to Re for each back plate configuration. The first parameter that was plotted was that of the compressor efficiency, as shown in Figure 5-1 below:</w:t>
      </w:r>
    </w:p>
    <w:p w:rsidR="00566DD3" w:rsidRPr="00566DD3" w:rsidRDefault="00566DD3" w:rsidP="00566DD3">
      <w:pPr>
        <w:spacing w:after="1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524500" cy="26860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B00D5" w:rsidRDefault="00566DD3" w:rsidP="00566DD3">
      <w:pPr>
        <w:spacing w:after="120"/>
        <w:jc w:val="center"/>
        <w:rPr>
          <w:rFonts w:ascii="Times New Roman" w:eastAsiaTheme="minorEastAsia" w:hAnsi="Times New Roman" w:cs="Times New Roman"/>
          <w:b/>
        </w:rPr>
      </w:pPr>
      <w:proofErr w:type="gramStart"/>
      <w:r>
        <w:rPr>
          <w:rFonts w:ascii="Times New Roman" w:eastAsiaTheme="minorEastAsia" w:hAnsi="Times New Roman" w:cs="Times New Roman"/>
          <w:b/>
        </w:rPr>
        <w:t>Figure 5-1.</w:t>
      </w:r>
      <w:proofErr w:type="gramEnd"/>
      <w:r>
        <w:rPr>
          <w:rFonts w:ascii="Times New Roman" w:eastAsiaTheme="minorEastAsia" w:hAnsi="Times New Roman" w:cs="Times New Roman"/>
          <w:b/>
        </w:rPr>
        <w:t xml:space="preserve"> Compression Efficiency vs. Re for Each Back Plate Configuration</w:t>
      </w:r>
    </w:p>
    <w:p w:rsidR="00566DD3" w:rsidRDefault="00566DD3" w:rsidP="00566DD3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As can be seen in the above figure, as Re increases, so does the efficiency of the compressor. This is likely due to the reduced effect of viscosity at higher </w:t>
      </w:r>
      <w:proofErr w:type="spellStart"/>
      <w:r>
        <w:rPr>
          <w:rFonts w:ascii="Times New Roman" w:eastAsiaTheme="minorEastAsia" w:hAnsi="Times New Roman" w:cs="Times New Roman"/>
        </w:rPr>
        <w:t>Re’s</w:t>
      </w:r>
      <w:proofErr w:type="spellEnd"/>
      <w:r>
        <w:rPr>
          <w:rFonts w:ascii="Times New Roman" w:eastAsiaTheme="minorEastAsia" w:hAnsi="Times New Roman" w:cs="Times New Roman"/>
        </w:rPr>
        <w:t xml:space="preserve">, meaning that the flow through the compressor is behaving more isentropic ally, and thus, more efficiently. </w:t>
      </w:r>
    </w:p>
    <w:p w:rsidR="00BA687A" w:rsidRDefault="00BA687A" w:rsidP="00566DD3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However, some discrepancies can be observed, mainly, for the lowest Re value on the X = 2 Inches plot, the efficiency actually exceeds 100%. This result most certainly arose from the </w:t>
      </w:r>
      <w:proofErr w:type="spellStart"/>
      <w:r>
        <w:rPr>
          <w:rFonts w:ascii="Times New Roman" w:eastAsiaTheme="minorEastAsia" w:hAnsi="Times New Roman" w:cs="Times New Roman"/>
        </w:rPr>
        <w:t>mis</w:t>
      </w:r>
      <w:proofErr w:type="spellEnd"/>
      <w:r>
        <w:rPr>
          <w:rFonts w:ascii="Times New Roman" w:eastAsiaTheme="minorEastAsia" w:hAnsi="Times New Roman" w:cs="Times New Roman"/>
        </w:rPr>
        <w:t xml:space="preserve">-recording of the scale force associated with said trial (0.1 </w:t>
      </w:r>
      <w:proofErr w:type="spellStart"/>
      <w:r>
        <w:rPr>
          <w:rFonts w:ascii="Times New Roman" w:eastAsiaTheme="minorEastAsia" w:hAnsi="Times New Roman" w:cs="Times New Roman"/>
        </w:rPr>
        <w:t>lbs</w:t>
      </w:r>
      <w:proofErr w:type="spellEnd"/>
      <w:r>
        <w:rPr>
          <w:rFonts w:ascii="Times New Roman" w:eastAsiaTheme="minorEastAsia" w:hAnsi="Times New Roman" w:cs="Times New Roman"/>
        </w:rPr>
        <w:t xml:space="preserve"> for Trial 7, in comparison to 0.5 </w:t>
      </w:r>
      <w:proofErr w:type="spellStart"/>
      <w:r>
        <w:rPr>
          <w:rFonts w:ascii="Times New Roman" w:eastAsiaTheme="minorEastAsia" w:hAnsi="Times New Roman" w:cs="Times New Roman"/>
        </w:rPr>
        <w:t>lbs</w:t>
      </w:r>
      <w:proofErr w:type="spellEnd"/>
      <w:r>
        <w:rPr>
          <w:rFonts w:ascii="Times New Roman" w:eastAsiaTheme="minorEastAsia" w:hAnsi="Times New Roman" w:cs="Times New Roman"/>
        </w:rPr>
        <w:t xml:space="preserve"> for Trials 1 and 4). If </w:t>
      </w:r>
      <w:proofErr w:type="gramStart"/>
      <w:r>
        <w:rPr>
          <w:rFonts w:ascii="Times New Roman" w:eastAsiaTheme="minorEastAsia" w:hAnsi="Times New Roman" w:cs="Times New Roman"/>
        </w:rPr>
        <w:t>this experiment were</w:t>
      </w:r>
      <w:proofErr w:type="gramEnd"/>
      <w:r>
        <w:rPr>
          <w:rFonts w:ascii="Times New Roman" w:eastAsiaTheme="minorEastAsia" w:hAnsi="Times New Roman" w:cs="Times New Roman"/>
        </w:rPr>
        <w:t xml:space="preserve"> run again and a more accurate force measurement were made, the trend for the 2 inch case would have likely followed that of the 1 inch case.</w:t>
      </w:r>
    </w:p>
    <w:p w:rsidR="00BA687A" w:rsidRDefault="00BA687A" w:rsidP="00566DD3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final flow characteristic to make note of from this figure is the behavior of the compressor when the back plate was located at 3 inches. In this configuration, the efficiency was zero in each trial. This indicates that absolutely no compression was occurring and that the compressor was essentially acting as an airflow accelerator.</w:t>
      </w:r>
    </w:p>
    <w:p w:rsidR="00BA687A" w:rsidRDefault="00BA687A" w:rsidP="00566DD3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next parameter that was plotted was that of the power coefficient, as shown in Figure 5-2 below:</w:t>
      </w:r>
    </w:p>
    <w:p w:rsidR="00BA687A" w:rsidRDefault="00BA687A" w:rsidP="00BA687A">
      <w:pPr>
        <w:spacing w:after="120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1620D590" wp14:editId="793928B4">
            <wp:extent cx="5943600" cy="431292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A687A" w:rsidRDefault="00BA687A" w:rsidP="00BA687A">
      <w:pPr>
        <w:spacing w:after="120"/>
        <w:jc w:val="center"/>
        <w:rPr>
          <w:rFonts w:ascii="Times New Roman" w:eastAsiaTheme="minorEastAsia" w:hAnsi="Times New Roman" w:cs="Times New Roman"/>
          <w:b/>
        </w:rPr>
      </w:pPr>
      <w:proofErr w:type="gramStart"/>
      <w:r>
        <w:rPr>
          <w:rFonts w:ascii="Times New Roman" w:eastAsiaTheme="minorEastAsia" w:hAnsi="Times New Roman" w:cs="Times New Roman"/>
          <w:b/>
        </w:rPr>
        <w:t>Figure 5-2.</w:t>
      </w:r>
      <w:proofErr w:type="gramEnd"/>
      <w:r>
        <w:rPr>
          <w:rFonts w:ascii="Times New Roman" w:eastAsiaTheme="minorEastAsia" w:hAnsi="Times New Roman" w:cs="Times New Roman"/>
          <w:b/>
        </w:rPr>
        <w:t xml:space="preserve"> Power Coefficient vs. Re for Each Back Plate Configuration</w:t>
      </w:r>
    </w:p>
    <w:p w:rsidR="00BA687A" w:rsidRDefault="0035770B" w:rsidP="00BA687A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 can be observed from the figure, the power coefficient for each case tended to decrease slightly as Re increased, with the disclaimer that the first point in the 1 inch case be ignored due to the points raised in the previous paragraphs of this analysis. With this point being ignored, a decrease in the power coefficient over the Re range falls in line with the principal that for increased Re, viscosity effects decrease, meaning </w:t>
      </w:r>
      <w:r>
        <w:rPr>
          <w:rFonts w:ascii="Times New Roman" w:eastAsiaTheme="minorEastAsia" w:hAnsi="Times New Roman" w:cs="Times New Roman"/>
        </w:rPr>
        <w:lastRenderedPageBreak/>
        <w:t>that the compressor has to do less work to accelerate the same amount of fluid, thus leading to the observed decrease in the power coefficient.</w:t>
      </w:r>
    </w:p>
    <w:p w:rsidR="0035770B" w:rsidRPr="00BA687A" w:rsidRDefault="0035770B" w:rsidP="00BA687A">
      <w:pPr>
        <w:spacing w:after="120"/>
        <w:jc w:val="both"/>
        <w:rPr>
          <w:rFonts w:ascii="Times New Roman" w:eastAsiaTheme="minorEastAsia" w:hAnsi="Times New Roman" w:cs="Times New Roman"/>
        </w:rPr>
      </w:pPr>
      <w:bookmarkStart w:id="13" w:name="_GoBack"/>
      <w:bookmarkEnd w:id="13"/>
    </w:p>
    <w:p w:rsidR="00A30063" w:rsidRPr="00A30063" w:rsidRDefault="00A30063" w:rsidP="00A30063">
      <w:pPr>
        <w:spacing w:after="120"/>
        <w:jc w:val="center"/>
        <w:rPr>
          <w:rFonts w:ascii="Times New Roman" w:eastAsiaTheme="minorEastAsia" w:hAnsi="Times New Roman" w:cs="Times New Roman"/>
        </w:rPr>
      </w:pPr>
    </w:p>
    <w:p w:rsidR="00E70672" w:rsidRDefault="00E70672" w:rsidP="00E70672">
      <w:pPr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:rsidR="00E70672" w:rsidRPr="00E70672" w:rsidRDefault="00E70672" w:rsidP="00E70672">
      <w:pPr>
        <w:spacing w:after="120"/>
        <w:jc w:val="center"/>
        <w:rPr>
          <w:rFonts w:ascii="Times New Roman" w:eastAsiaTheme="minorEastAsia" w:hAnsi="Times New Roman" w:cs="Times New Roman"/>
          <w:b/>
        </w:rPr>
      </w:pPr>
    </w:p>
    <w:p w:rsidR="00FD6724" w:rsidRPr="00B60AE3" w:rsidRDefault="00FD6724" w:rsidP="00FD6724">
      <w:pPr>
        <w:spacing w:after="120"/>
        <w:jc w:val="both"/>
        <w:rPr>
          <w:rFonts w:ascii="Times New Roman" w:eastAsiaTheme="minorEastAsia" w:hAnsi="Times New Roman" w:cs="Times New Roman"/>
        </w:rPr>
      </w:pPr>
    </w:p>
    <w:p w:rsidR="00BF41A8" w:rsidRPr="00BF41A8" w:rsidRDefault="00BF41A8" w:rsidP="00BF41A8">
      <w:pPr>
        <w:spacing w:after="120"/>
        <w:jc w:val="both"/>
        <w:rPr>
          <w:rFonts w:ascii="Times New Roman" w:hAnsi="Times New Roman" w:cs="Times New Roman"/>
        </w:rPr>
      </w:pPr>
    </w:p>
    <w:sectPr w:rsidR="00BF41A8" w:rsidRPr="00BF41A8" w:rsidSect="005E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41A8"/>
    <w:rsid w:val="0011567D"/>
    <w:rsid w:val="001E227C"/>
    <w:rsid w:val="002A2BC9"/>
    <w:rsid w:val="0035770B"/>
    <w:rsid w:val="00543882"/>
    <w:rsid w:val="00566DD3"/>
    <w:rsid w:val="005E4FAB"/>
    <w:rsid w:val="0060402B"/>
    <w:rsid w:val="00A30063"/>
    <w:rsid w:val="00B60AE3"/>
    <w:rsid w:val="00BA687A"/>
    <w:rsid w:val="00BD5365"/>
    <w:rsid w:val="00BF41A8"/>
    <w:rsid w:val="00CB00D5"/>
    <w:rsid w:val="00DF43F7"/>
    <w:rsid w:val="00E70672"/>
    <w:rsid w:val="00E97333"/>
    <w:rsid w:val="00FD6724"/>
    <w:rsid w:val="00F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41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moline\LabWork\Lab_2\Lab2_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moline\LabWork\Lab_2\Lab2_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000" u="sng">
                <a:latin typeface="Times New Roman" panose="02020603050405020304" pitchFamily="18" charset="0"/>
                <a:cs typeface="Times New Roman" panose="02020603050405020304" pitchFamily="18" charset="0"/>
              </a:rPr>
              <a:t>Compression</a:t>
            </a:r>
            <a:r>
              <a:rPr lang="en-US" sz="1000" u="sng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Efficiency vs. Reynold's Number for Each Plate Distance</a:t>
            </a:r>
            <a:endParaRPr lang="en-US" sz="1000" u="sng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8.6659115617480229E-2"/>
          <c:y val="3.82139581949846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0965833776843753"/>
          <c:y val="0.11951838851468867"/>
          <c:w val="0.81023048895317895"/>
          <c:h val="0.69732251842013726"/>
        </c:manualLayout>
      </c:layout>
      <c:scatterChart>
        <c:scatterStyle val="lineMarker"/>
        <c:varyColors val="0"/>
        <c:ser>
          <c:idx val="0"/>
          <c:order val="0"/>
          <c:tx>
            <c:v>X = 3 Inches</c:v>
          </c:tx>
          <c:xVal>
            <c:numRef>
              <c:f>Sheet1!$E$27:$E$29</c:f>
              <c:numCache>
                <c:formatCode>0</c:formatCode>
                <c:ptCount val="3"/>
                <c:pt idx="0">
                  <c:v>216040.80447566588</c:v>
                </c:pt>
                <c:pt idx="1">
                  <c:v>423520.4667144267</c:v>
                </c:pt>
                <c:pt idx="2">
                  <c:v>697222.79136540589</c:v>
                </c:pt>
              </c:numCache>
            </c:numRef>
          </c:xVal>
          <c:yVal>
            <c:numRef>
              <c:f>Sheet1!$F$27:$F$29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X = 2 Inches</c:v>
          </c:tx>
          <c:xVal>
            <c:numRef>
              <c:f>Sheet1!$E$30:$E$32</c:f>
              <c:numCache>
                <c:formatCode>0</c:formatCode>
                <c:ptCount val="3"/>
                <c:pt idx="0">
                  <c:v>216040.80447566588</c:v>
                </c:pt>
                <c:pt idx="1">
                  <c:v>445631.8610974992</c:v>
                </c:pt>
                <c:pt idx="2">
                  <c:v>701735.60735360405</c:v>
                </c:pt>
              </c:numCache>
            </c:numRef>
          </c:xVal>
          <c:yVal>
            <c:numRef>
              <c:f>Sheet1!$F$30:$F$32</c:f>
              <c:numCache>
                <c:formatCode>0.000</c:formatCode>
                <c:ptCount val="3"/>
                <c:pt idx="0">
                  <c:v>0.13850076361803615</c:v>
                </c:pt>
                <c:pt idx="1">
                  <c:v>0.22737781903208601</c:v>
                </c:pt>
                <c:pt idx="2">
                  <c:v>0.28063523803604706</c:v>
                </c:pt>
              </c:numCache>
            </c:numRef>
          </c:yVal>
          <c:smooth val="0"/>
        </c:ser>
        <c:ser>
          <c:idx val="2"/>
          <c:order val="2"/>
          <c:tx>
            <c:v>X = 1 Inch</c:v>
          </c:tx>
          <c:xVal>
            <c:numRef>
              <c:f>Sheet1!$E$33:$E$35</c:f>
              <c:numCache>
                <c:formatCode>0</c:formatCode>
                <c:ptCount val="3"/>
                <c:pt idx="0">
                  <c:v>216040.80447566588</c:v>
                </c:pt>
                <c:pt idx="1">
                  <c:v>466696.82399223128</c:v>
                </c:pt>
                <c:pt idx="2">
                  <c:v>674205.7635889448</c:v>
                </c:pt>
              </c:numCache>
            </c:numRef>
          </c:xVal>
          <c:yVal>
            <c:numRef>
              <c:f>Sheet1!$F$33:$F$35</c:f>
              <c:numCache>
                <c:formatCode>0.000</c:formatCode>
                <c:ptCount val="3"/>
                <c:pt idx="0">
                  <c:v>1.3850076361803616</c:v>
                </c:pt>
                <c:pt idx="1">
                  <c:v>0.44741126561577843</c:v>
                </c:pt>
                <c:pt idx="2">
                  <c:v>0.49197678125067434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193792"/>
        <c:axId val="162195712"/>
      </c:scatterChart>
      <c:valAx>
        <c:axId val="1621937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Re</a:t>
                </a:r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crossAx val="162195712"/>
        <c:crosses val="autoZero"/>
        <c:crossBetween val="midCat"/>
      </c:valAx>
      <c:valAx>
        <c:axId val="1621957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l-GR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η</a:t>
                </a:r>
                <a:endParaRPr 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4634146903558552E-2"/>
              <c:y val="0.4187284811078399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6219379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42294973093701"/>
          <c:y val="1.8659519969642348E-2"/>
          <c:w val="0.17551731510164348"/>
          <c:h val="0.15387060051228535"/>
        </c:manualLayout>
      </c:layout>
      <c:overlay val="0"/>
      <c:spPr>
        <a:ln>
          <a:solidFill>
            <a:sysClr val="windowText" lastClr="000000"/>
          </a:solidFill>
        </a:ln>
      </c:spPr>
      <c:txPr>
        <a:bodyPr/>
        <a:lstStyle/>
        <a:p>
          <a:pPr>
            <a:defRPr sz="8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u="sng">
                <a:latin typeface="Times New Roman" panose="02020603050405020304" pitchFamily="18" charset="0"/>
                <a:cs typeface="Times New Roman" panose="02020603050405020304" pitchFamily="18" charset="0"/>
              </a:rPr>
              <a:t>Power Coefficient </a:t>
            </a:r>
            <a:r>
              <a:rPr lang="en-US" u="sng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vs. Reynold's Number for Each Plate Distance</a:t>
            </a:r>
            <a:endParaRPr lang="en-US" u="sng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5.9028617011942779E-2"/>
          <c:y val="2.4945280691503671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5874116696951343"/>
          <c:y val="0.18110282592767776"/>
          <c:w val="0.79593832020997379"/>
          <c:h val="0.68476391864444508"/>
        </c:manualLayout>
      </c:layout>
      <c:scatterChart>
        <c:scatterStyle val="lineMarker"/>
        <c:varyColors val="0"/>
        <c:ser>
          <c:idx val="3"/>
          <c:order val="0"/>
          <c:tx>
            <c:v>X = 3 Inches</c:v>
          </c:tx>
          <c:xVal>
            <c:numRef>
              <c:f>Sheet1!$E$27:$E$30</c:f>
              <c:numCache>
                <c:formatCode>0</c:formatCode>
                <c:ptCount val="4"/>
                <c:pt idx="0">
                  <c:v>216040.80447566588</c:v>
                </c:pt>
                <c:pt idx="1">
                  <c:v>423520.4667144267</c:v>
                </c:pt>
                <c:pt idx="2">
                  <c:v>697222.79136540589</c:v>
                </c:pt>
                <c:pt idx="3">
                  <c:v>216040.80447566588</c:v>
                </c:pt>
              </c:numCache>
            </c:numRef>
          </c:xVal>
          <c:yVal>
            <c:numRef>
              <c:f>Sheet1!$B$27:$B$29</c:f>
              <c:numCache>
                <c:formatCode>0.000000</c:formatCode>
                <c:ptCount val="3"/>
                <c:pt idx="0">
                  <c:v>3.7543283335532624E-4</c:v>
                </c:pt>
                <c:pt idx="1">
                  <c:v>3.6091592067524444E-4</c:v>
                </c:pt>
                <c:pt idx="2">
                  <c:v>3.508425306132502E-4</c:v>
                </c:pt>
              </c:numCache>
            </c:numRef>
          </c:yVal>
          <c:smooth val="0"/>
        </c:ser>
        <c:ser>
          <c:idx val="4"/>
          <c:order val="1"/>
          <c:tx>
            <c:v>X = 2 Inches</c:v>
          </c:tx>
          <c:xVal>
            <c:numRef>
              <c:f>Sheet1!$E$30:$E$32</c:f>
              <c:numCache>
                <c:formatCode>0</c:formatCode>
                <c:ptCount val="3"/>
                <c:pt idx="0">
                  <c:v>216040.80447566588</c:v>
                </c:pt>
                <c:pt idx="1">
                  <c:v>445631.8610974992</c:v>
                </c:pt>
                <c:pt idx="2">
                  <c:v>701735.60735360405</c:v>
                </c:pt>
              </c:numCache>
            </c:numRef>
          </c:xVal>
          <c:yVal>
            <c:numRef>
              <c:f>Sheet1!$B$30:$B$32</c:f>
              <c:numCache>
                <c:formatCode>0.000000</c:formatCode>
                <c:ptCount val="3"/>
                <c:pt idx="0">
                  <c:v>3.8267574364567045E-4</c:v>
                </c:pt>
                <c:pt idx="1">
                  <c:v>3.1772531751768856E-4</c:v>
                </c:pt>
                <c:pt idx="2">
                  <c:v>3.2888671592087111E-4</c:v>
                </c:pt>
              </c:numCache>
            </c:numRef>
          </c:yVal>
          <c:smooth val="0"/>
        </c:ser>
        <c:ser>
          <c:idx val="5"/>
          <c:order val="2"/>
          <c:tx>
            <c:v>X = 1 Inch</c:v>
          </c:tx>
          <c:xVal>
            <c:numRef>
              <c:f>Sheet1!$E$33:$E$35</c:f>
              <c:numCache>
                <c:formatCode>0</c:formatCode>
                <c:ptCount val="3"/>
                <c:pt idx="0">
                  <c:v>216040.80447566588</c:v>
                </c:pt>
                <c:pt idx="1">
                  <c:v>466696.82399223128</c:v>
                </c:pt>
                <c:pt idx="2">
                  <c:v>674205.7635889448</c:v>
                </c:pt>
              </c:numCache>
            </c:numRef>
          </c:xVal>
          <c:yVal>
            <c:numRef>
              <c:f>Sheet1!$B$33:$B$35</c:f>
              <c:numCache>
                <c:formatCode>0.000000</c:formatCode>
                <c:ptCount val="3"/>
                <c:pt idx="0">
                  <c:v>7.6535148729134082E-5</c:v>
                </c:pt>
                <c:pt idx="1">
                  <c:v>2.3500785595087558E-4</c:v>
                </c:pt>
                <c:pt idx="2">
                  <c:v>2.2763790873205791E-4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283904"/>
        <c:axId val="162285824"/>
      </c:scatterChart>
      <c:valAx>
        <c:axId val="162283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Re</a:t>
                </a:r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crossAx val="162285824"/>
        <c:crosses val="autoZero"/>
        <c:crossBetween val="midCat"/>
      </c:valAx>
      <c:valAx>
        <c:axId val="1622858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Cw</a:t>
                </a:r>
              </a:p>
            </c:rich>
          </c:tx>
          <c:layout>
            <c:manualLayout>
              <c:xMode val="edge"/>
              <c:yMode val="edge"/>
              <c:x val="1.4634146903558552E-2"/>
              <c:y val="0.41872848110783994"/>
            </c:manualLayout>
          </c:layout>
          <c:overlay val="0"/>
        </c:title>
        <c:numFmt formatCode="0.000000" sourceLinked="1"/>
        <c:majorTickMark val="out"/>
        <c:minorTickMark val="none"/>
        <c:tickLblPos val="nextTo"/>
        <c:crossAx val="16228390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1330617604257671"/>
          <c:y val="1.9046029140350387E-2"/>
          <c:w val="0.17388610678677907"/>
          <c:h val="0.14993586952411683"/>
        </c:manualLayout>
      </c:layout>
      <c:overlay val="0"/>
      <c:spPr>
        <a:ln>
          <a:solidFill>
            <a:sysClr val="windowText" lastClr="000000"/>
          </a:solidFill>
        </a:ln>
      </c:spPr>
      <c:txPr>
        <a:bodyPr/>
        <a:lstStyle/>
        <a:p>
          <a:pPr>
            <a:defRPr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LearnQuest</Company>
  <LinksUpToDate>false</LinksUpToDate>
  <CharactersWithSpaces>6540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Arthur Moline</dc:creator>
  <cp:lastModifiedBy>Tom A. Moline</cp:lastModifiedBy>
  <cp:revision>4</cp:revision>
  <dcterms:created xsi:type="dcterms:W3CDTF">2013-10-03T04:32:00Z</dcterms:created>
  <dcterms:modified xsi:type="dcterms:W3CDTF">2013-10-03T05:06:00Z</dcterms:modified>
</cp:coreProperties>
</file>