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FAB" w:rsidRDefault="007C5A4D" w:rsidP="007C5A4D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torsional pendulum consists of a long, stiff shaft fixed that is fixed at one end on attached to a large disk on the other. When said disk is rotated by a small angle and then released, the shaft will begin to rotate in a periodic fashion, the amplitude and frequency of which are highly reliant upon the moment of inertia and weight of the disk, as described in Equations (1-2), where 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 xml:space="preserve"> are the respective diameter, thickness, shaft shear modulus, length, and density of the disc. </w:t>
      </w:r>
    </w:p>
    <w:p w:rsidR="007C5A4D" w:rsidRDefault="007C5A4D" w:rsidP="007C5A4D">
      <w:pPr>
        <w:spacing w:after="12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I=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8G</m:t>
              </m:r>
            </m:den>
          </m:f>
        </m:oMath>
      </m:oMathPara>
    </w:p>
    <w:p w:rsidR="007C5A4D" w:rsidRDefault="007C5A4D" w:rsidP="007C5A4D">
      <w:pPr>
        <w:spacing w:after="12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W=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ρ</m:t>
          </m:r>
        </m:oMath>
      </m:oMathPara>
    </w:p>
    <w:p w:rsidR="007C5A4D" w:rsidRDefault="007C5A4D" w:rsidP="007C5A4D">
      <w:pPr>
        <w:spacing w:after="12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(1</w:t>
      </w:r>
      <w:proofErr w:type="gramStart"/>
      <w:r>
        <w:rPr>
          <w:rFonts w:ascii="Times New Roman" w:eastAsiaTheme="minorEastAsia" w:hAnsi="Times New Roman" w:cs="Times New Roman"/>
        </w:rPr>
        <w:t>,2</w:t>
      </w:r>
      <w:proofErr w:type="gramEnd"/>
      <w:r>
        <w:rPr>
          <w:rFonts w:ascii="Times New Roman" w:eastAsiaTheme="minorEastAsia" w:hAnsi="Times New Roman" w:cs="Times New Roman"/>
        </w:rPr>
        <w:t>)</w:t>
      </w:r>
    </w:p>
    <w:p w:rsidR="007C5A4D" w:rsidRDefault="007C5A4D" w:rsidP="007C5A4D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Based on these parameters, the equation of motion associated with the rotation of the shaft can be described by Equation (3), where </w:t>
      </w:r>
      <w:proofErr w:type="spellStart"/>
      <w:r w:rsidR="0070378A" w:rsidRPr="0070378A">
        <w:rPr>
          <w:rFonts w:ascii="Times New Roman" w:eastAsiaTheme="minorEastAsia" w:hAnsi="Times New Roman" w:cs="Times New Roman"/>
          <w:i/>
        </w:rPr>
        <w:t>k</w:t>
      </w:r>
      <w:r w:rsidR="0070378A" w:rsidRPr="0070378A">
        <w:rPr>
          <w:rFonts w:ascii="Times New Roman" w:eastAsiaTheme="minorEastAsia" w:hAnsi="Times New Roman" w:cs="Times New Roman"/>
          <w:i/>
          <w:vertAlign w:val="subscript"/>
        </w:rPr>
        <w:t>r</w:t>
      </w:r>
      <w:proofErr w:type="spellEnd"/>
      <w:r w:rsidR="0070378A">
        <w:rPr>
          <w:rFonts w:ascii="Times New Roman" w:eastAsiaTheme="minorEastAsia" w:hAnsi="Times New Roman" w:cs="Times New Roman"/>
        </w:rPr>
        <w:t xml:space="preserve"> is the rotational spring constant of the shaft, as described in Equation (4).</w:t>
      </w:r>
    </w:p>
    <w:p w:rsidR="0070378A" w:rsidRDefault="0070378A" w:rsidP="0070378A">
      <w:pPr>
        <w:spacing w:after="12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I</m:t>
          </m:r>
          <m:acc>
            <m:accPr>
              <m:chr m:val="̈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ϕ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ϕ=0</m:t>
          </m:r>
        </m:oMath>
      </m:oMathPara>
    </w:p>
    <w:p w:rsidR="0070378A" w:rsidRDefault="0070378A" w:rsidP="0070378A">
      <w:pPr>
        <w:spacing w:after="12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32l</m:t>
              </m:r>
            </m:den>
          </m:f>
        </m:oMath>
      </m:oMathPara>
    </w:p>
    <w:p w:rsidR="0070378A" w:rsidRDefault="0070378A" w:rsidP="0070378A">
      <w:pPr>
        <w:spacing w:after="12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(3</w:t>
      </w:r>
      <w:proofErr w:type="gramStart"/>
      <w:r>
        <w:rPr>
          <w:rFonts w:ascii="Times New Roman" w:eastAsiaTheme="minorEastAsia" w:hAnsi="Times New Roman" w:cs="Times New Roman"/>
        </w:rPr>
        <w:t>,4</w:t>
      </w:r>
      <w:proofErr w:type="gramEnd"/>
      <w:r>
        <w:rPr>
          <w:rFonts w:ascii="Times New Roman" w:eastAsiaTheme="minorEastAsia" w:hAnsi="Times New Roman" w:cs="Times New Roman"/>
        </w:rPr>
        <w:t>)</w:t>
      </w:r>
    </w:p>
    <w:p w:rsidR="0070378A" w:rsidRPr="00F71227" w:rsidRDefault="0070378A" w:rsidP="0070378A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Based on these equations, the natural frequency and normal frequency can be described by Equations (5-6). Each of these correspond to the </w:t>
      </w:r>
      <w:proofErr w:type="spellStart"/>
      <w:r>
        <w:rPr>
          <w:rFonts w:ascii="Times New Roman" w:eastAsiaTheme="minorEastAsia" w:hAnsi="Times New Roman" w:cs="Times New Roman"/>
        </w:rPr>
        <w:t>undamped</w:t>
      </w:r>
      <w:proofErr w:type="spellEnd"/>
      <w:r>
        <w:rPr>
          <w:rFonts w:ascii="Times New Roman" w:eastAsiaTheme="minorEastAsia" w:hAnsi="Times New Roman" w:cs="Times New Roman"/>
        </w:rPr>
        <w:t xml:space="preserve"> frequency of oscillation of the shaft, so if one wants to find the damped frequency of oscillation, Equation (7) can b</w:t>
      </w:r>
      <w:r w:rsidR="00F71227">
        <w:rPr>
          <w:rFonts w:ascii="Times New Roman" w:eastAsiaTheme="minorEastAsia" w:hAnsi="Times New Roman" w:cs="Times New Roman"/>
        </w:rPr>
        <w:t>e used, where the damping ratio</w:t>
      </w:r>
      <w:r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  <w:i/>
        </w:rPr>
        <w:t>ς</w:t>
      </w:r>
      <w:r w:rsidR="00F71227">
        <w:rPr>
          <w:rFonts w:ascii="Times New Roman" w:eastAsiaTheme="minorEastAsia" w:hAnsi="Times New Roman" w:cs="Times New Roman"/>
        </w:rPr>
        <w:t xml:space="preserve">, is defined by Equation (8), where the logarithmic decrement, </w:t>
      </w:r>
      <w:r w:rsidR="00F71227">
        <w:rPr>
          <w:rFonts w:ascii="Calibri" w:eastAsiaTheme="minorEastAsia" w:hAnsi="Calibri" w:cs="Times New Roman"/>
          <w:i/>
        </w:rPr>
        <w:t>δ</w:t>
      </w:r>
      <w:r w:rsidR="00F71227">
        <w:rPr>
          <w:rFonts w:ascii="Times New Roman" w:eastAsiaTheme="minorEastAsia" w:hAnsi="Times New Roman" w:cs="Times New Roman"/>
        </w:rPr>
        <w:t>, is defined by Equation (9). The u values listed in Equation (9) correspond to amplitudes of oscillation at two separate points (</w:t>
      </w:r>
      <w:proofErr w:type="spellStart"/>
      <w:r w:rsidR="00F71227">
        <w:rPr>
          <w:rFonts w:ascii="Times New Roman" w:eastAsiaTheme="minorEastAsia" w:hAnsi="Times New Roman" w:cs="Times New Roman"/>
        </w:rPr>
        <w:t>i</w:t>
      </w:r>
      <w:proofErr w:type="spellEnd"/>
      <w:r w:rsidR="00F71227">
        <w:rPr>
          <w:rFonts w:ascii="Times New Roman" w:eastAsiaTheme="minorEastAsia" w:hAnsi="Times New Roman" w:cs="Times New Roman"/>
        </w:rPr>
        <w:t xml:space="preserve"> and </w:t>
      </w:r>
      <w:proofErr w:type="spellStart"/>
      <w:r w:rsidR="00F71227">
        <w:rPr>
          <w:rFonts w:ascii="Times New Roman" w:eastAsiaTheme="minorEastAsia" w:hAnsi="Times New Roman" w:cs="Times New Roman"/>
        </w:rPr>
        <w:t>i+j</w:t>
      </w:r>
      <w:proofErr w:type="spellEnd"/>
      <w:r w:rsidR="00F71227">
        <w:rPr>
          <w:rFonts w:ascii="Times New Roman" w:eastAsiaTheme="minorEastAsia" w:hAnsi="Times New Roman" w:cs="Times New Roman"/>
        </w:rPr>
        <w:t>). Experimentally, these points can be considered at amplitudes of 90</w:t>
      </w:r>
      <w:r w:rsidR="00F71227">
        <w:rPr>
          <w:rFonts w:ascii="Calibri" w:eastAsiaTheme="minorEastAsia" w:hAnsi="Calibri" w:cs="Times New Roman"/>
        </w:rPr>
        <w:t>⁰</w:t>
      </w:r>
      <w:r w:rsidR="00F71227">
        <w:rPr>
          <w:rFonts w:ascii="Times New Roman" w:eastAsiaTheme="minorEastAsia" w:hAnsi="Times New Roman" w:cs="Times New Roman"/>
        </w:rPr>
        <w:t xml:space="preserve"> and 45</w:t>
      </w:r>
      <w:r w:rsidR="00F71227">
        <w:rPr>
          <w:rFonts w:ascii="Calibri" w:eastAsiaTheme="minorEastAsia" w:hAnsi="Calibri" w:cs="Times New Roman"/>
        </w:rPr>
        <w:t>⁰</w:t>
      </w:r>
      <w:r w:rsidR="00F71227">
        <w:rPr>
          <w:rFonts w:ascii="Times New Roman" w:eastAsiaTheme="minorEastAsia" w:hAnsi="Times New Roman" w:cs="Times New Roman"/>
        </w:rPr>
        <w:t xml:space="preserve"> respectively. </w:t>
      </w:r>
    </w:p>
    <w:p w:rsidR="0070378A" w:rsidRDefault="0070378A" w:rsidP="0070378A">
      <w:pPr>
        <w:spacing w:after="12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ω=</m:t>
          </m:r>
          <m:rad>
            <m:radPr>
              <m:degHide m:val="on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den>
              </m:f>
            </m:e>
          </m:rad>
        </m:oMath>
      </m:oMathPara>
    </w:p>
    <w:p w:rsidR="0070378A" w:rsidRDefault="0070378A" w:rsidP="0070378A">
      <w:pPr>
        <w:spacing w:after="12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2π</m:t>
              </m:r>
            </m:den>
          </m:f>
          <m:rad>
            <m:radPr>
              <m:degHide m:val="on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den>
              </m:f>
            </m:e>
          </m:rad>
        </m:oMath>
      </m:oMathPara>
    </w:p>
    <w:p w:rsidR="00F71227" w:rsidRDefault="00F71227" w:rsidP="00F71227">
      <w:pPr>
        <w:spacing w:after="12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=ω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F71227" w:rsidRDefault="00F71227" w:rsidP="00F71227">
      <w:pPr>
        <w:spacing w:after="12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ς=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ω</m:t>
              </m:r>
            </m:den>
          </m:f>
        </m:oMath>
      </m:oMathPara>
    </w:p>
    <w:p w:rsidR="00F71227" w:rsidRPr="00F71227" w:rsidRDefault="00F71227" w:rsidP="00F71227">
      <w:pPr>
        <w:spacing w:after="12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δ=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j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i+j</m:t>
                          </m:r>
                        </m:e>
                      </m:d>
                    </m:sub>
                  </m:sSub>
                </m:den>
              </m:f>
            </m:e>
          </m:func>
        </m:oMath>
      </m:oMathPara>
    </w:p>
    <w:p w:rsidR="0070378A" w:rsidRDefault="00F71227" w:rsidP="0070378A">
      <w:pPr>
        <w:spacing w:after="12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(5-9</w:t>
      </w:r>
      <w:r w:rsidR="0070378A">
        <w:rPr>
          <w:rFonts w:ascii="Times New Roman" w:eastAsiaTheme="minorEastAsia" w:hAnsi="Times New Roman" w:cs="Times New Roman"/>
        </w:rPr>
        <w:t>)</w:t>
      </w:r>
    </w:p>
    <w:p w:rsidR="00F71227" w:rsidRDefault="00F71227" w:rsidP="00F71227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With all of these values in mind, the behavior of the shaft, disk system when disturbed from equilibrium can be properly predicted and assessed.</w:t>
      </w:r>
    </w:p>
    <w:p w:rsidR="0070378A" w:rsidRPr="0070378A" w:rsidRDefault="0070378A" w:rsidP="0070378A">
      <w:pPr>
        <w:spacing w:after="120"/>
        <w:jc w:val="both"/>
        <w:rPr>
          <w:rFonts w:ascii="Times New Roman" w:eastAsiaTheme="minorEastAsia" w:hAnsi="Times New Roman" w:cs="Times New Roman"/>
        </w:rPr>
      </w:pPr>
    </w:p>
    <w:sectPr w:rsidR="0070378A" w:rsidRPr="0070378A" w:rsidSect="005E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C5A4D"/>
    <w:rsid w:val="005E4FAB"/>
    <w:rsid w:val="0070378A"/>
    <w:rsid w:val="007C5A4D"/>
    <w:rsid w:val="00F57A5B"/>
    <w:rsid w:val="00F71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5A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LearnQuest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Arthur Moline</dc:creator>
  <cp:lastModifiedBy>Thomas Arthur Moline</cp:lastModifiedBy>
  <cp:revision>1</cp:revision>
  <dcterms:created xsi:type="dcterms:W3CDTF">2013-11-28T20:16:00Z</dcterms:created>
  <dcterms:modified xsi:type="dcterms:W3CDTF">2013-11-28T20:43:00Z</dcterms:modified>
</cp:coreProperties>
</file>