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40" w:line="264" w:lineRule="auto"/>
      </w:pPr>
      <w:r>
        <w:rPr>
          <w:rFonts w:ascii="Calibri" w:hAnsi="Calibri"/>
          <w:b/>
          <w:i w:val="0"/>
          <w:color w:val="17324D"/>
          <w:sz w:val="46"/>
        </w:rPr>
        <w:t>AeroLink Technical Overview</w:t>
      </w:r>
    </w:p>
    <w:p>
      <w:pPr>
        <w:keepNext/>
        <w:spacing w:before="0" w:after="240" w:line="264" w:lineRule="auto"/>
        <w:pBdr>
          <w:bottom w:val="single" w:sz="18" w:space="10" w:color="2E74B5"/>
        </w:pBdr>
      </w:pPr>
      <w:r>
        <w:rPr>
          <w:rFonts w:ascii="Calibri" w:hAnsi="Calibri"/>
          <w:b w:val="0"/>
          <w:i w:val="0"/>
          <w:color w:val="5C6C7E"/>
          <w:sz w:val="25"/>
        </w:rPr>
        <w:t>Architecture, data, version control, and operational assurance</w:t>
      </w:r>
    </w:p>
    <w:p>
      <w:pPr>
        <w:keepNext w:val="0"/>
        <w:spacing w:before="0" w:after="40" w:line="264" w:lineRule="auto"/>
      </w:pPr>
      <w:r>
        <w:rPr>
          <w:rFonts w:ascii="Calibri" w:hAnsi="Calibri"/>
          <w:b/>
          <w:i w:val="0"/>
          <w:color w:val="2E74B5"/>
          <w:sz w:val="22"/>
        </w:rPr>
        <w:t xml:space="preserve">Audience  </w:t>
      </w:r>
      <w:r>
        <w:rPr>
          <w:rFonts w:ascii="Calibri" w:hAnsi="Calibri"/>
          <w:b w:val="0"/>
          <w:i w:val="0"/>
          <w:color w:val="17324D"/>
          <w:sz w:val="22"/>
        </w:rPr>
        <w:t>Software, systems, verification, configuration-management, and IT colleagues</w:t>
      </w:r>
    </w:p>
    <w:p>
      <w:pPr>
        <w:keepNext w:val="0"/>
        <w:spacing w:before="0" w:after="200" w:line="264" w:lineRule="auto"/>
      </w:pPr>
      <w:r>
        <w:rPr>
          <w:rFonts w:ascii="Calibri" w:hAnsi="Calibri"/>
          <w:b/>
          <w:i w:val="0"/>
          <w:color w:val="2E74B5"/>
          <w:sz w:val="22"/>
        </w:rPr>
        <w:t xml:space="preserve">Scope  </w:t>
      </w:r>
      <w:r>
        <w:rPr>
          <w:rFonts w:ascii="Calibri" w:hAnsi="Calibri"/>
          <w:b w:val="0"/>
          <w:i w:val="0"/>
          <w:color w:val="17324D"/>
          <w:sz w:val="22"/>
        </w:rPr>
        <w:t>Current implementation; concise companion to the authoritative repository documents</w:t>
      </w:r>
    </w:p>
    <w:p>
      <w:pPr>
        <w:pStyle w:val="Heading1"/>
      </w:pPr>
      <w:r>
        <w:t>1. System shape</w:t>
      </w:r>
    </w:p>
    <w:p>
      <w:pPr>
        <w:keepNext w:val="0"/>
        <w:spacing w:before="0" w:after="140" w:line="264" w:lineRule="auto"/>
      </w:pPr>
      <w:r>
        <w:rPr>
          <w:rFonts w:ascii="Calibri" w:hAnsi="Calibri"/>
          <w:b w:val="0"/>
          <w:i w:val="0"/>
          <w:color w:val="17324D"/>
          <w:sz w:val="22"/>
        </w:rPr>
        <w:t>AeroLink is a modular monolith: a React/TypeScript browser client calls an ASP.NET Core API on .NET 10. Entity Framework Core provides persistence. PostgreSQL is the normal local/on-premises database; SQLite is used only for isolated automated tests. The production-shaped launcher serves the built client and API from one origin, while development uses Vite plus the API.</w:t>
      </w:r>
    </w:p>
    <w:p>
      <w:pPr>
        <w:keepNext w:val="0"/>
        <w:spacing w:before="0" w:after="140" w:line="264" w:lineRule="auto"/>
      </w:pPr>
      <w:r>
        <w:rPr>
          <w:rFonts w:ascii="Calibri" w:hAnsi="Calibri"/>
          <w:b w:val="0"/>
          <w:i w:val="0"/>
          <w:color w:val="17324D"/>
          <w:sz w:val="22"/>
        </w:rPr>
        <w:t>Lifecycle rules live in domain objects. Endpoints authenticate the caller, validate Project/build scope and role authority, invoke the domain operation, and persist state plus audit or integration evidence atomically. The browser explains state, but it is not the control boundary: released-build mutation protection and role separation are enforced server-side.</w:t>
      </w:r>
    </w:p>
    <w:p>
      <w:pPr>
        <w:pStyle w:val="Heading1"/>
      </w:pPr>
      <w:r>
        <w:t>2. Request and transaction path</w:t>
      </w:r>
    </w:p>
    <w:p>
      <w:pPr>
        <w:keepNext w:val="0"/>
        <w:spacing w:before="0" w:after="100" w:line="264" w:lineRule="auto"/>
      </w:pPr>
      <w:r>
        <w:rPr>
          <w:rFonts w:ascii="Calibri" w:hAnsi="Calibri"/>
          <w:b/>
          <w:i w:val="0"/>
          <w:color w:val="2E74B5"/>
          <w:sz w:val="22"/>
        </w:rPr>
        <w:t xml:space="preserve">1 • Client  </w:t>
      </w:r>
      <w:r>
        <w:rPr>
          <w:rFonts w:ascii="Calibri" w:hAnsi="Calibri"/>
          <w:b w:val="0"/>
          <w:i w:val="0"/>
          <w:color w:val="17324D"/>
          <w:sz w:val="22"/>
        </w:rPr>
        <w:t>Sends an authenticated request carrying the deep-linked Program, Project, build, and artifact context.</w:t>
      </w:r>
    </w:p>
    <w:p>
      <w:pPr>
        <w:keepNext w:val="0"/>
        <w:spacing w:before="0" w:after="100" w:line="264" w:lineRule="auto"/>
      </w:pPr>
      <w:r>
        <w:rPr>
          <w:rFonts w:ascii="Calibri" w:hAnsi="Calibri"/>
          <w:b/>
          <w:i w:val="0"/>
          <w:color w:val="2E74B5"/>
          <w:sz w:val="22"/>
        </w:rPr>
        <w:t xml:space="preserve">2 • API  </w:t>
      </w:r>
      <w:r>
        <w:rPr>
          <w:rFonts w:ascii="Calibri" w:hAnsi="Calibri"/>
          <w:b w:val="0"/>
          <w:i w:val="0"/>
          <w:color w:val="17324D"/>
          <w:sz w:val="22"/>
        </w:rPr>
        <w:t>Checks session, anti-forgery protection, membership, role, resource ownership, and build isolation.</w:t>
      </w:r>
    </w:p>
    <w:p>
      <w:pPr>
        <w:keepNext w:val="0"/>
        <w:spacing w:before="0" w:after="100" w:line="264" w:lineRule="auto"/>
      </w:pPr>
      <w:r>
        <w:rPr>
          <w:rFonts w:ascii="Calibri" w:hAnsi="Calibri"/>
          <w:b/>
          <w:i w:val="0"/>
          <w:color w:val="2E74B5"/>
          <w:sz w:val="22"/>
        </w:rPr>
        <w:t xml:space="preserve">3 • Domain  </w:t>
      </w:r>
      <w:r>
        <w:rPr>
          <w:rFonts w:ascii="Calibri" w:hAnsi="Calibri"/>
          <w:b w:val="0"/>
          <w:i w:val="0"/>
          <w:color w:val="17324D"/>
          <w:sz w:val="22"/>
        </w:rPr>
        <w:t>Applies state-machine, independence, revision, rationale, and signature rules.</w:t>
      </w:r>
    </w:p>
    <w:p>
      <w:pPr>
        <w:keepNext w:val="0"/>
        <w:spacing w:before="0" w:after="100" w:line="264" w:lineRule="auto"/>
      </w:pPr>
      <w:r>
        <w:rPr>
          <w:rFonts w:ascii="Calibri" w:hAnsi="Calibri"/>
          <w:b/>
          <w:i w:val="0"/>
          <w:color w:val="2E74B5"/>
          <w:sz w:val="22"/>
        </w:rPr>
        <w:t xml:space="preserve">4 • Persistence  </w:t>
      </w:r>
      <w:r>
        <w:rPr>
          <w:rFonts w:ascii="Calibri" w:hAnsi="Calibri"/>
          <w:b w:val="0"/>
          <w:i w:val="0"/>
          <w:color w:val="17324D"/>
          <w:sz w:val="22"/>
        </w:rPr>
        <w:t>Writes the controlled record, history, and durable event evidence in one database transaction.</w:t>
      </w:r>
    </w:p>
    <w:p>
      <w:pPr>
        <w:keepNext w:val="0"/>
        <w:spacing w:before="0" w:after="100" w:line="264" w:lineRule="auto"/>
      </w:pPr>
      <w:r>
        <w:rPr>
          <w:rFonts w:ascii="Calibri" w:hAnsi="Calibri"/>
          <w:b/>
          <w:i w:val="0"/>
          <w:color w:val="2E74B5"/>
          <w:sz w:val="22"/>
        </w:rPr>
        <w:t xml:space="preserve">5 • Projection  </w:t>
      </w:r>
      <w:r>
        <w:rPr>
          <w:rFonts w:ascii="Calibri" w:hAnsi="Calibri"/>
          <w:b w:val="0"/>
          <w:i w:val="0"/>
          <w:color w:val="17324D"/>
          <w:sz w:val="22"/>
        </w:rPr>
        <w:t>Returns a permission-safe view; refresh and direct links rebuild the same context from durable identifiers.</w:t>
      </w:r>
    </w:p>
    <w:p>
      <w:pPr>
        <w:pStyle w:val="Heading1"/>
      </w:pPr>
      <w:r>
        <w:t>3. PostgreSQL and controlled records</w:t>
      </w:r>
    </w:p>
    <w:p>
      <w:pPr>
        <w:keepNext w:val="0"/>
        <w:spacing w:before="0" w:after="140" w:line="264" w:lineRule="auto"/>
      </w:pPr>
      <w:r>
        <w:rPr>
          <w:rFonts w:ascii="Calibri" w:hAnsi="Calibri"/>
          <w:b w:val="0"/>
          <w:i w:val="0"/>
          <w:color w:val="17324D"/>
          <w:sz w:val="22"/>
        </w:rPr>
        <w:t>PostgreSQL is the one real-life database. EF Core migrations version its schema and run at startup. Stable artifacts (for example SCR-00076 or LLR-000008) are separate from immutable revisions (.00, .01). Approved content is never edited in place: a change request proposes a successor, ordered review and electronic signatures approve it, and baseline materialization selects exact revision IDs for a build.</w:t>
      </w:r>
    </w:p>
    <w:p>
      <w:pPr>
        <w:keepNext w:val="0"/>
        <w:spacing w:before="0" w:after="0" w:line="264" w:lineRule="auto"/>
      </w:pPr>
      <w:r>
        <w:rPr>
          <w:rFonts w:ascii="Calibri" w:hAnsi="Calibri"/>
          <w:b w:val="0"/>
          <w:i w:val="0"/>
          <w:color w:val="17324D"/>
          <w:sz w:val="22"/>
        </w:rPr>
        <w:t>Foreign keys, unique constraints, concurrency tokens, append-only history, hashes, and server-side build guards protect the relationships. Build 1.5 resolves to its released baseline. Build 1.6 inherits that exact baseline until its own candidate is materialized, while its changes, assessments, tests, Problem Reports, and code mappings remain a separate active layer.</w:t>
      </w:r>
    </w:p>
    <w:p>
      <w:r>
        <w:br w:type="page"/>
      </w:r>
    </w:p>
    <w:p>
      <w:pPr>
        <w:pStyle w:val="Heading1"/>
      </w:pPr>
      <w:r>
        <w:t>4. Four complementary kinds of version control</w:t>
      </w:r>
    </w:p>
    <w:p>
      <w:pPr>
        <w:keepNext w:val="0"/>
        <w:spacing w:before="0" w:after="100" w:line="264" w:lineRule="auto"/>
      </w:pPr>
      <w:r>
        <w:rPr>
          <w:rFonts w:ascii="Calibri" w:hAnsi="Calibri"/>
          <w:b/>
          <w:i w:val="0"/>
          <w:color w:val="2E74B5"/>
          <w:sz w:val="22"/>
        </w:rPr>
        <w:t xml:space="preserve">Application source  </w:t>
      </w:r>
      <w:r>
        <w:rPr>
          <w:rFonts w:ascii="Calibri" w:hAnsi="Calibri"/>
          <w:b w:val="0"/>
          <w:i w:val="0"/>
          <w:color w:val="17324D"/>
          <w:sz w:val="22"/>
        </w:rPr>
        <w:t>Git and GitHub version code and documentation. Work uses focused codex/* branches, pull requests, CI, and squash merges; implementation is never pushed directly to main.</w:t>
      </w:r>
    </w:p>
    <w:p>
      <w:pPr>
        <w:keepNext w:val="0"/>
        <w:spacing w:before="0" w:after="100" w:line="264" w:lineRule="auto"/>
      </w:pPr>
      <w:r>
        <w:rPr>
          <w:rFonts w:ascii="Calibri" w:hAnsi="Calibri"/>
          <w:b/>
          <w:i w:val="0"/>
          <w:color w:val="2E74B5"/>
          <w:sz w:val="22"/>
        </w:rPr>
        <w:t xml:space="preserve">Engineering artifacts  </w:t>
      </w:r>
      <w:r>
        <w:rPr>
          <w:rFonts w:ascii="Calibri" w:hAnsi="Calibri"/>
          <w:b w:val="0"/>
          <w:i w:val="0"/>
          <w:color w:val="17324D"/>
          <w:sz w:val="22"/>
        </w:rPr>
        <w:t>Stable controlled identities carry immutable numbered revisions. Returns retain history; corrections create successors rather than overwriting approved facts.</w:t>
      </w:r>
    </w:p>
    <w:p>
      <w:pPr>
        <w:keepNext w:val="0"/>
        <w:spacing w:before="0" w:after="100" w:line="264" w:lineRule="auto"/>
      </w:pPr>
      <w:r>
        <w:rPr>
          <w:rFonts w:ascii="Calibri" w:hAnsi="Calibri"/>
          <w:b/>
          <w:i w:val="0"/>
          <w:color w:val="2E74B5"/>
          <w:sz w:val="22"/>
        </w:rPr>
        <w:t xml:space="preserve">Build configuration  </w:t>
      </w:r>
      <w:r>
        <w:rPr>
          <w:rFonts w:ascii="Calibri" w:hAnsi="Calibri"/>
          <w:b w:val="0"/>
          <w:i w:val="0"/>
          <w:color w:val="17324D"/>
          <w:sz w:val="22"/>
        </w:rPr>
        <w:t>Candidate baselines select exact approved requirement revisions. Software-build and release records identify the immutable configuration that verification and release decisions address.</w:t>
      </w:r>
    </w:p>
    <w:p>
      <w:pPr>
        <w:keepNext w:val="0"/>
        <w:spacing w:before="0" w:after="100" w:line="264" w:lineRule="auto"/>
      </w:pPr>
      <w:r>
        <w:rPr>
          <w:rFonts w:ascii="Calibri" w:hAnsi="Calibri"/>
          <w:b/>
          <w:i w:val="0"/>
          <w:color w:val="2E74B5"/>
          <w:sz w:val="22"/>
        </w:rPr>
        <w:t xml:space="preserve">Documents and evidence  </w:t>
      </w:r>
      <w:r>
        <w:rPr>
          <w:rFonts w:ascii="Calibri" w:hAnsi="Calibri"/>
          <w:b w:val="0"/>
          <w:i w:val="0"/>
          <w:color w:val="17324D"/>
          <w:sz w:val="22"/>
        </w:rPr>
        <w:t>Generated DOCX/PDF outputs and release packages record source baseline, template revision, content hashes, procedures, executions, and evidence references.</w:t>
      </w:r>
    </w:p>
    <w:p>
      <w:pPr>
        <w:pStyle w:val="Heading1"/>
      </w:pPr>
      <w:r>
        <w:t>5. Traceability and external authorities</w:t>
      </w:r>
    </w:p>
    <w:p>
      <w:pPr>
        <w:keepNext w:val="0"/>
        <w:spacing w:before="0" w:after="140" w:line="264" w:lineRule="auto"/>
      </w:pPr>
      <w:r>
        <w:rPr>
          <w:rFonts w:ascii="Calibri" w:hAnsi="Calibri"/>
          <w:b w:val="0"/>
          <w:i w:val="0"/>
          <w:color w:val="17324D"/>
          <w:sz w:val="22"/>
        </w:rPr>
        <w:t>Digital Thread follows exact baseline revisions through SYSR → HLR → LLR → procedure → execution/result → evidence → software build. It is a projection over authoritative records, not a second trace database. Focused traversal and evidence views remain available for deeper investigation.</w:t>
      </w:r>
    </w:p>
    <w:p>
      <w:pPr>
        <w:keepNext w:val="0"/>
        <w:spacing w:before="0" w:after="140" w:line="264" w:lineRule="auto"/>
      </w:pPr>
      <w:r>
        <w:rPr>
          <w:rFonts w:ascii="Calibri" w:hAnsi="Calibri"/>
          <w:b w:val="0"/>
          <w:i w:val="0"/>
          <w:color w:val="17324D"/>
          <w:sz w:val="22"/>
        </w:rPr>
        <w:t>GitLab remains authoritative for repositories, source, merge requests, review, CI, and commit content. AeroLink records an immutable pointer from an exact approved LLR revision to a GitLab MR and merge commit SHA, or a justified No code change required decision. AeroLink does not host or review code.</w:t>
      </w:r>
    </w:p>
    <w:p>
      <w:pPr>
        <w:pStyle w:val="Heading1"/>
      </w:pPr>
      <w:r>
        <w:t>6. Identity, review, and electronic signatures</w:t>
      </w:r>
    </w:p>
    <w:p>
      <w:pPr>
        <w:keepNext w:val="0"/>
        <w:spacing w:before="0" w:after="140" w:line="264" w:lineRule="auto"/>
      </w:pPr>
      <w:r>
        <w:rPr>
          <w:rFonts w:ascii="Calibri" w:hAnsi="Calibri"/>
          <w:b w:val="0"/>
          <w:i w:val="0"/>
          <w:color w:val="17324D"/>
          <w:sz w:val="22"/>
        </w:rPr>
        <w:t>Authentication uses revocable server sessions, password hashing, Program membership, roles, and time-bounded delegations. Material approvals use password confirmation and retain signer identity, authority, time, and signed content context. Authors cannot independently approve controlled work where role separation is required; returned work retains its prior rationale and review history.</w:t>
      </w:r>
    </w:p>
    <w:p>
      <w:pPr>
        <w:pStyle w:val="Heading1"/>
      </w:pPr>
      <w:r>
        <w:t>7. Backup, recovery, and qualification</w:t>
      </w:r>
    </w:p>
    <w:p>
      <w:pPr>
        <w:keepNext w:val="0"/>
        <w:spacing w:before="0" w:after="140" w:line="264" w:lineRule="auto"/>
      </w:pPr>
      <w:r>
        <w:rPr>
          <w:rFonts w:ascii="Calibri" w:hAnsi="Calibri"/>
          <w:b w:val="0"/>
          <w:i w:val="0"/>
          <w:color w:val="17324D"/>
          <w:sz w:val="22"/>
        </w:rPr>
        <w:t>The persistent PostgreSQL database, controlled evidence store, and runtime configuration are backed up together into integrity-manifested archives. A Windows scheduled task runs the same verified engine daily by default; schedule and retention can evolve. Restore validation is isolated so it cannot replace the live database accidentally.</w:t>
      </w:r>
    </w:p>
    <w:p>
      <w:pPr>
        <w:keepNext w:val="0"/>
        <w:spacing w:before="0" w:after="140" w:line="264" w:lineRule="auto"/>
      </w:pPr>
      <w:r>
        <w:rPr>
          <w:rFonts w:ascii="Calibri" w:hAnsi="Calibri"/>
          <w:b w:val="0"/>
          <w:i w:val="0"/>
          <w:color w:val="17324D"/>
          <w:sz w:val="22"/>
        </w:rPr>
        <w:t>Quality gates include domain and API suites, client lint/type-check/build, Playwright role and workflow journeys, production hosting tests, PostgreSQL bootstrap/migration validation, and exact-merge requalification. The FMS records are explicitly demonstration data; demo seeding and accounts are disabled by production configuration.</w:t>
      </w:r>
    </w:p>
    <w:p>
      <w:pPr>
        <w:pStyle w:val="Heading1"/>
      </w:pPr>
      <w:r>
        <w:t>8. Deliberate boundaries</w:t>
      </w:r>
    </w:p>
    <w:p>
      <w:pPr>
        <w:keepNext w:val="0"/>
        <w:spacing w:before="0" w:after="0" w:line="264" w:lineRule="auto"/>
      </w:pPr>
      <w:r>
        <w:rPr>
          <w:rFonts w:ascii="Calibri" w:hAnsi="Calibri"/>
          <w:b w:val="0"/>
          <w:i w:val="0"/>
          <w:color w:val="17324D"/>
          <w:sz w:val="22"/>
        </w:rPr>
        <w:t>AeroLink governs lifecycle data and evidence. It does not execute tests, host source code, approve GitLab merges, claim certification, or replace organizational process authority. External test systems and GitLab remain authoritative for execution and code; AeroLink connects their evidence to the exact controlled revisions and build used for a release decision.</w:t>
      </w:r>
    </w:p>
    <w:sectPr w:rsidR="00FC693F" w:rsidRPr="0006063C" w:rsidSect="00034616">
      <w:headerReference w:type="default" r:id="rId9"/>
      <w:footerReference w:type="default" r:id="rId10"/>
      <w:pgSz w:w="12240" w:h="15840"/>
      <w:pgMar w:top="1080" w:right="1181" w:bottom="1037" w:left="1181"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C7E"/>
        <w:sz w:val="17"/>
      </w:rPr>
      <w:t xml:space="preserve">AeroLink • 2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left"/>
      </w:tabs>
      <w:spacing w:after="60"/>
      <w:pBdr>
        <w:bottom w:val="single" w:sz="6" w:space="4" w:color="D5DEE8"/>
      </w:pBdr>
    </w:pPr>
    <w:r>
      <w:rPr>
        <w:rFonts w:ascii="Calibri" w:hAnsi="Calibri"/>
        <w:b/>
        <w:i w:val="0"/>
        <w:color w:val="5C6C7E"/>
        <w:sz w:val="17"/>
      </w:rPr>
      <w:t>AEROLINK TECHNICAL BRIEF</w:t>
      <w:tab/>
      <w:t>CURRENT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AeroLink Technical Overview</dc:title>
  <dc:subject>Architecture, database, versioning, traceability, security, backup, and quality gates</dc:subject>
  <dc:creator>AeroLink Project</dc:creator>
  <cp:keywords>AeroLink, requirements, PostgreSQL, versioning, traceability, GitLab</cp:keywords>
  <dc:description>generated by python-docx</dc:description>
  <cp:lastModifiedBy/>
  <cp:revision>1</cp:revision>
  <dcterms:created xsi:type="dcterms:W3CDTF">2013-12-23T23:15:00Z</dcterms:created>
  <dcterms:modified xsi:type="dcterms:W3CDTF">2013-12-23T23:15:00Z</dcterms:modified>
  <cp:category/>
</cp:coreProperties>
</file>