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20"/>
      </w:pPr>
      <w:r>
        <w:rPr>
          <w:rFonts w:ascii="Aptos Display" w:hAnsi="Aptos Display"/>
          <w:b/>
          <w:color w:val="102A43"/>
          <w:sz w:val="56"/>
        </w:rPr>
        <w:t>AeroLink</w:t>
      </w:r>
    </w:p>
    <w:p>
      <w:pPr>
        <w:spacing w:after="100"/>
        <w:pBdr>
          <w:bottom w:val="single" w:sz="18" w:space="6" w:color="168578"/>
        </w:pBdr>
      </w:pPr>
      <w:r>
        <w:rPr>
          <w:b/>
          <w:color w:val="168578"/>
          <w:sz w:val="26"/>
        </w:rPr>
        <w:t>How the platform, database, version control, and Word document lifecycle work</w:t>
      </w:r>
    </w:p>
    <w:p>
      <w:pPr>
        <w:spacing w:after="140"/>
      </w:pPr>
      <w:r>
        <w:rPr>
          <w:b/>
          <w:color w:val="526274"/>
          <w:sz w:val="15"/>
        </w:rPr>
        <w:t>FOR SOFTWARE, SYSTEMS, VERIFICATION, CONFIGURATION-MANAGEMENT, AND IT COLLEAGUES</w:t>
      </w:r>
    </w:p>
    <w:p>
      <w:pPr>
        <w:spacing w:before="160" w:after="60"/>
      </w:pPr>
      <w:r>
        <w:rPr>
          <w:b/>
          <w:color w:val="2E74B5"/>
          <w:sz w:val="26"/>
        </w:rPr>
        <w:t>1  System shape</w:t>
      </w:r>
    </w:p>
    <w:p>
      <w:pPr>
        <w:spacing w:after="80" w:line="250" w:lineRule="auto"/>
      </w:pPr>
      <w:r>
        <w:t>AeroLink is a local/on-premises modular monolith. A React and TypeScript browser client calls an ASP.NET Core API on .NET 10. Entity Framework Core maps controlled domain records to PostgreSQL. SQLite is used only for isolated automated tests. The production-shaped launcher builds the client and serves browser and API traffic from one origin; development uses a Vite client beside the API.</w:t>
      </w:r>
    </w:p>
    <w:p>
      <w:pPr>
        <w:spacing w:after="80" w:line="250" w:lineRule="auto"/>
      </w:pPr>
      <w:r>
        <w:t>Lifecycle rules live in domain objects, not in presentation code. The API authenticates the caller, verifies Project/build context and role authority, executes one domain operation, and persists its resulting state plus audit or signature evidence. Released-build mutation guards and independent-review rules are therefore enforced even when a client request is crafted manually.</w:t>
      </w:r>
    </w:p>
    <w:tbl>
      <w:tblPr>
        <w:tblW w:type="auto" w:w="0"/>
        <w:tblLayout w:type="fixed"/>
        <w:tblLook w:firstColumn="1" w:firstRow="1" w:lastColumn="0" w:lastRow="0" w:noHBand="0" w:noVBand="1" w:val="04A0"/>
      </w:tblPr>
      <w:tblGrid>
        <w:gridCol w:w="3427"/>
        <w:gridCol w:w="3427"/>
        <w:gridCol w:w="3427"/>
      </w:tblGrid>
      <w:tr>
        <w:tc>
          <w:tcPr>
            <w:tcW w:type="dxa" w:w="2952"/>
            <w:shd w:fill="102A43"/>
            <w:vAlign w:val="center"/>
          </w:tcPr>
          <w:p>
            <w:r>
              <w:rPr>
                <w:b/>
                <w:color w:val="FFFFFF"/>
              </w:rPr>
              <w:t>Browser</w:t>
            </w:r>
          </w:p>
        </w:tc>
        <w:tc>
          <w:tcPr>
            <w:tcW w:type="dxa" w:w="2952"/>
            <w:shd w:fill="102A43"/>
            <w:vAlign w:val="center"/>
          </w:tcPr>
          <w:p>
            <w:r>
              <w:rPr>
                <w:b/>
                <w:color w:val="FFFFFF"/>
              </w:rPr>
              <w:t>Application</w:t>
            </w:r>
          </w:p>
        </w:tc>
        <w:tc>
          <w:tcPr>
            <w:tcW w:type="dxa" w:w="3960"/>
            <w:shd w:fill="102A43"/>
            <w:vAlign w:val="center"/>
          </w:tcPr>
          <w:p>
            <w:r>
              <w:rPr>
                <w:b/>
                <w:color w:val="FFFFFF"/>
              </w:rPr>
              <w:t>Controlled data</w:t>
            </w:r>
          </w:p>
        </w:tc>
      </w:tr>
      <w:tr>
        <w:tc>
          <w:tcPr>
            <w:tcW w:type="dxa" w:w="2952"/>
            <w:shd w:fill="EAF2F5"/>
          </w:tcPr>
          <w:p>
            <w:r>
              <w:t>React / TypeScript</w:t>
            </w:r>
          </w:p>
        </w:tc>
        <w:tc>
          <w:tcPr>
            <w:tcW w:type="dxa" w:w="2952"/>
            <w:shd w:fill="EAF2F5"/>
          </w:tcPr>
          <w:p>
            <w:r>
              <w:t>.NET API + domain rules</w:t>
            </w:r>
          </w:p>
        </w:tc>
        <w:tc>
          <w:tcPr>
            <w:tcW w:type="dxa" w:w="3960"/>
            <w:shd w:fill="EAF2F5"/>
          </w:tcPr>
          <w:p>
            <w:r>
              <w:t>PostgreSQL metadata</w:t>
            </w:r>
          </w:p>
        </w:tc>
      </w:tr>
      <w:tr>
        <w:tc>
          <w:tcPr>
            <w:tcW w:type="dxa" w:w="2952"/>
            <w:shd w:fill="FFFFFF"/>
          </w:tcPr>
          <w:p>
            <w:r>
              <w:t>Build-scoped routes</w:t>
            </w:r>
          </w:p>
        </w:tc>
        <w:tc>
          <w:tcPr>
            <w:tcW w:type="dxa" w:w="2952"/>
            <w:shd w:fill="FFFFFF"/>
          </w:tcPr>
          <w:p>
            <w:r>
              <w:t>EF Core migrations</w:t>
            </w:r>
          </w:p>
        </w:tc>
        <w:tc>
          <w:tcPr>
            <w:tcW w:type="dxa" w:w="3960"/>
            <w:shd w:fill="FFFFFF"/>
          </w:tcPr>
          <w:p>
            <w:r>
              <w:t>Checksummed evidence store</w:t>
            </w:r>
          </w:p>
        </w:tc>
      </w:tr>
      <w:tr>
        <w:tc>
          <w:tcPr>
            <w:tcW w:type="dxa" w:w="2952"/>
            <w:shd w:fill="EAF2F5"/>
          </w:tcPr>
          <w:p>
            <w:r>
              <w:t>Explanatory UI</w:t>
            </w:r>
          </w:p>
        </w:tc>
        <w:tc>
          <w:tcPr>
            <w:tcW w:type="dxa" w:w="2952"/>
            <w:shd w:fill="EAF2F5"/>
          </w:tcPr>
          <w:p>
            <w:r>
              <w:t>Authorization + audit</w:t>
            </w:r>
          </w:p>
        </w:tc>
        <w:tc>
          <w:tcPr>
            <w:tcW w:type="dxa" w:w="3960"/>
            <w:shd w:fill="EAF2F5"/>
          </w:tcPr>
          <w:p>
            <w:r>
              <w:t>Immutable selections and files</w:t>
            </w:r>
          </w:p>
        </w:tc>
      </w:tr>
    </w:tbl>
    <w:p>
      <w:pPr>
        <w:spacing w:before="160" w:after="60"/>
      </w:pPr>
      <w:r>
        <w:rPr>
          <w:b/>
          <w:color w:val="2E74B5"/>
          <w:sz w:val="26"/>
        </w:rPr>
        <w:t>2  Database and controlled records</w:t>
      </w:r>
    </w:p>
    <w:p>
      <w:pPr>
        <w:spacing w:after="80" w:line="250" w:lineRule="auto"/>
      </w:pPr>
      <w:r>
        <w:t>PostgreSQL is the one real-life database. EF Core migrations version the schema and run at application startup; migrations add or transform structures without resetting persistent engineering records. Stable identities such as SRCR-00076, LLR-000008, or SDP-000001 remain separate from immutable formal revisions such as .00 and .01.</w:t>
      </w:r>
    </w:p>
    <w:p>
      <w:pPr>
        <w:pStyle w:val="ListBullet"/>
        <w:spacing w:after="40"/>
      </w:pPr>
      <w:r>
        <w:t>Requirements: a change request proposes a new exact revision; ordered review and electronic signatures approve the snapshot; a build baseline selects exact revision IDs.</w:t>
      </w:r>
    </w:p>
    <w:p>
      <w:pPr>
        <w:pStyle w:val="ListBullet"/>
        <w:spacing w:after="40"/>
      </w:pPr>
      <w:r>
        <w:t>Verification: procedures, executions, results, and evidence are separate controlled records joined to exact revisions and builds.</w:t>
      </w:r>
    </w:p>
    <w:p>
      <w:pPr>
        <w:pStyle w:val="ListBullet"/>
        <w:spacing w:after="40"/>
      </w:pPr>
      <w:r>
        <w:t>Managed documents: PostgreSQL holds register identity, formal revision, build selection, review route, signatures, links, locks, and hashes; the evidence store holds DOCX/PDF bytes.</w:t>
      </w:r>
    </w:p>
    <w:p>
      <w:pPr>
        <w:pStyle w:val="ListBullet"/>
        <w:spacing w:after="40"/>
      </w:pPr>
      <w:r>
        <w:t>Integrity: foreign keys, unique constraints, concurrency versions, SHA-256 hashes, append-only events, and server-side build guards protect relationships.</w:t>
      </w:r>
    </w:p>
    <w:p>
      <w:pPr>
        <w:sectPr>
          <w:headerReference w:type="default" r:id="rId9"/>
          <w:footerReference w:type="default" r:id="rId10"/>
          <w:pgSz w:w="12240" w:h="15840"/>
          <w:pgMar w:top="835" w:right="979" w:bottom="792" w:left="979" w:header="720" w:footer="720" w:gutter="0"/>
          <w:cols w:space="720"/>
          <w:docGrid w:linePitch="360"/>
        </w:sectPr>
      </w:pPr>
    </w:p>
    <w:p>
      <w:pPr>
        <w:spacing w:before="160" w:after="60"/>
      </w:pPr>
      <w:r>
        <w:rPr>
          <w:b/>
          <w:color w:val="2E74B5"/>
          <w:sz w:val="26"/>
        </w:rPr>
        <w:t>3  Four complementary version controls</w:t>
      </w:r>
    </w:p>
    <w:tbl>
      <w:tblPr>
        <w:tblW w:type="auto" w:w="0"/>
        <w:tblLayout w:type="fixed"/>
        <w:tblLook w:firstColumn="1" w:firstRow="1" w:lastColumn="0" w:lastRow="0" w:noHBand="0" w:noVBand="1" w:val="04A0"/>
      </w:tblPr>
      <w:tblGrid>
        <w:gridCol w:w="5141"/>
        <w:gridCol w:w="5141"/>
      </w:tblGrid>
      <w:tr>
        <w:tc>
          <w:tcPr>
            <w:tcW w:type="dxa" w:w="5141"/>
            <w:shd w:fill="102A43"/>
          </w:tcPr>
          <w:p>
            <w:r>
              <w:rPr>
                <w:b/>
                <w:color w:val="FFFFFF"/>
              </w:rPr>
              <w:t>Control</w:t>
            </w:r>
          </w:p>
        </w:tc>
        <w:tc>
          <w:tcPr>
            <w:tcW w:type="dxa" w:w="5141"/>
            <w:shd w:fill="102A43"/>
          </w:tcPr>
          <w:p>
            <w:r>
              <w:rPr>
                <w:b/>
                <w:color w:val="FFFFFF"/>
              </w:rPr>
              <w:t>What it fixes in time</w:t>
            </w:r>
          </w:p>
        </w:tc>
      </w:tr>
      <w:tr>
        <w:tc>
          <w:tcPr>
            <w:tcW w:type="dxa" w:w="5141"/>
            <w:shd w:fill="EAF2F5"/>
          </w:tcPr>
          <w:p>
            <w:r>
              <w:rPr>
                <w:b/>
              </w:rPr>
              <w:t>Git / GitHub</w:t>
            </w:r>
          </w:p>
        </w:tc>
        <w:tc>
          <w:tcPr>
            <w:tcW w:type="dxa" w:w="5141"/>
          </w:tcPr>
          <w:p>
            <w:r>
              <w:t>Application source and repository documentation; focused branches, pull requests, CI, and reviewed main.</w:t>
            </w:r>
          </w:p>
        </w:tc>
      </w:tr>
      <w:tr>
        <w:tc>
          <w:tcPr>
            <w:tcW w:type="dxa" w:w="5141"/>
            <w:shd w:fill="EAF2F5"/>
          </w:tcPr>
          <w:p>
            <w:r>
              <w:rPr>
                <w:b/>
              </w:rPr>
              <w:t>Artifact revisions</w:t>
            </w:r>
          </w:p>
        </w:tc>
        <w:tc>
          <w:tcPr>
            <w:tcW w:type="dxa" w:w="5141"/>
          </w:tcPr>
          <w:p>
            <w:r>
              <w:t>The exact engineering statement, procedure, problem, change, or managed document revision that was reviewed.</w:t>
            </w:r>
          </w:p>
        </w:tc>
      </w:tr>
      <w:tr>
        <w:tc>
          <w:tcPr>
            <w:tcW w:type="dxa" w:w="5141"/>
            <w:shd w:fill="EAF2F5"/>
          </w:tcPr>
          <w:p>
            <w:r>
              <w:rPr>
                <w:b/>
              </w:rPr>
              <w:t>Build baselines</w:t>
            </w:r>
          </w:p>
        </w:tc>
        <w:tc>
          <w:tcPr>
            <w:tcW w:type="dxa" w:w="5141"/>
          </w:tcPr>
          <w:p>
            <w:r>
              <w:t>The exact approved requirement and verification configuration selected for Build 1.5, 1.6, or a successor.</w:t>
            </w:r>
          </w:p>
        </w:tc>
      </w:tr>
      <w:tr>
        <w:tc>
          <w:tcPr>
            <w:tcW w:type="dxa" w:w="5141"/>
            <w:shd w:fill="EAF2F5"/>
          </w:tcPr>
          <w:p>
            <w:r>
              <w:rPr>
                <w:b/>
              </w:rPr>
              <w:t>Files and publications</w:t>
            </w:r>
          </w:p>
        </w:tc>
        <w:tc>
          <w:tcPr>
            <w:tcW w:type="dxa" w:w="5141"/>
          </w:tcPr>
          <w:p>
            <w:r>
              <w:t>Every working DOCX version, released DOCX/PDF pair, generated publication, and package by source and SHA-256 hash.</w:t>
            </w:r>
          </w:p>
        </w:tc>
      </w:tr>
    </w:tbl>
    <w:p>
      <w:pPr>
        <w:spacing w:before="160" w:after="60"/>
      </w:pPr>
      <w:r>
        <w:rPr>
          <w:b/>
          <w:color w:val="2E74B5"/>
          <w:sz w:val="26"/>
        </w:rPr>
        <w:t>4  Word-authored documentation lifecycle</w:t>
      </w:r>
    </w:p>
    <w:p>
      <w:pPr>
        <w:spacing w:after="80" w:line="250" w:lineRule="auto"/>
      </w:pPr>
      <w:r>
        <w:t>Documentation Center deliberately keeps Word as the authoring tool. The per-user Windows connector redeems a one-use scoped grant, downloads the exact current DOCX, opens Microsoft Word, and maintains an exclusive lease. Check-in creates a new immutable working-file version with a required comment; discard closes the checkout without changing the authoritative source. Stale-source check-ins fail rather than overwrite another user's work.</w:t>
      </w:r>
    </w:p>
    <w:p>
      <w:pPr>
        <w:pStyle w:val="ListBullet"/>
        <w:spacing w:after="40"/>
      </w:pPr>
      <w:r>
        <w:t>Draft is a visible lifecycle state, not a separate acronym. Every Draft section must retain a faint Draft watermark.</w:t>
      </w:r>
    </w:p>
    <w:p>
      <w:pPr>
        <w:pStyle w:val="ListBullet"/>
        <w:spacing w:after="40"/>
      </w:pPr>
      <w:r>
        <w:t>The author, technical reviewer, and final SQA/configuration approver must be different people.</w:t>
      </w:r>
    </w:p>
    <w:p>
      <w:pPr>
        <w:pStyle w:val="ListBullet"/>
        <w:spacing w:after="40"/>
      </w:pPr>
      <w:r>
        <w:t>At final review, Word produces a watermark-free DOCX and PDF labeled Release Candidate. AeroLink rejects any pair still marked Draft, then validates and hashes the exact candidate before release.</w:t>
      </w:r>
    </w:p>
    <w:p>
      <w:pPr>
        <w:pStyle w:val="ListBullet"/>
        <w:spacing w:after="40"/>
      </w:pPr>
      <w:r>
        <w:t>Build 1.5 projects only its released selection and is read-only; Build 1.6 can carry that release beside one active successor.</w:t>
      </w:r>
    </w:p>
    <w:p>
      <w:pPr>
        <w:pStyle w:val="ListBullet"/>
        <w:spacing w:after="40"/>
      </w:pPr>
      <w:r>
        <w:t>Links select existing same-Project change requests, Problem Reports, Test Change Requests, and builds and remain attached to the exact document revision.</w:t>
      </w:r>
    </w:p>
    <w:p>
      <w:pPr>
        <w:spacing w:before="160" w:after="60"/>
      </w:pPr>
      <w:r>
        <w:rPr>
          <w:b/>
          <w:color w:val="2E74B5"/>
          <w:sz w:val="26"/>
        </w:rPr>
        <w:t>5  Traceability, operation, and boundaries</w:t>
      </w:r>
    </w:p>
    <w:p>
      <w:pPr>
        <w:spacing w:after="80" w:line="250" w:lineRule="auto"/>
      </w:pPr>
      <w:r>
        <w:t>Digital Thread follows exact build-selected SYSR, HLR, LLR, procedure, execution/result, checksummed evidence, and software-build records. GitLab remains authoritative for implementation code; AeroLink stores immutable links from exact approved LLR revisions to GitLab merge requests and merge commit SHAs, or a justified no-code decision.</w:t>
      </w:r>
    </w:p>
    <w:p>
      <w:pPr>
        <w:spacing w:after="80" w:line="250" w:lineRule="auto"/>
      </w:pPr>
      <w:r>
        <w:t>The PostgreSQL database, controlled evidence store, and runtime configuration are backed up together into integrity-manifested archives. A daily Windows task can run the same backup engine; restore validation is isolated. Quality gates cover domain/API suites, client lint/type-check/build, browser workflows, PostgreSQL migrations, production hosting, Windows launchers, and exact-merge requalification.</w:t>
      </w:r>
    </w:p>
    <w:tbl>
      <w:tblPr>
        <w:tblW w:type="auto" w:w="0"/>
        <w:tblLook w:firstColumn="1" w:firstRow="1" w:lastColumn="0" w:lastRow="0" w:noHBand="0" w:noVBand="1" w:val="04A0"/>
      </w:tblPr>
      <w:tblGrid>
        <w:gridCol w:w="10282"/>
      </w:tblGrid>
      <w:tr>
        <w:tc>
          <w:tcPr>
            <w:tcW w:type="dxa" w:w="10282"/>
            <w:shd w:fill="FFF6D9"/>
          </w:tcPr>
          <w:p>
            <w:r>
              <w:rPr>
                <w:b/>
                <w:color w:val="102A43"/>
              </w:rPr>
              <w:t xml:space="preserve">Boundary: </w:t>
            </w:r>
            <w:r>
              <w:t>AeroLink governs lifecycle data and evidence. It does not execute tests, host source code, replace Microsoft Word, approve GitLab merges, claim certification, or replace organizational process authority.</w:t>
            </w:r>
          </w:p>
        </w:tc>
      </w:tr>
    </w:tbl>
    <w:sectPr w:rsidR="00FC693F" w:rsidRPr="0006063C" w:rsidSect="00034616">
      <w:headerReference w:type="default" r:id="rId11"/>
      <w:footerReference w:type="default" r:id="rId12"/>
      <w:pgSz w:w="12240" w:h="15840"/>
      <w:pgMar w:top="835"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274"/>
        <w:sz w:val="15"/>
      </w:rPr>
      <w:t>Current implementation brief  |  6 August 2026  |  Controlled project handoff</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274"/>
        <w:sz w:val="15"/>
      </w:rPr>
      <w:t>Current implementation brief  |  6 August 2026  |  Controlled project handoff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6" w:color="168578"/>
      </w:pBdr>
    </w:pPr>
    <w:r>
      <w:rPr>
        <w:rFonts w:ascii="Aptos Display" w:hAnsi="Aptos Display"/>
        <w:b/>
        <w:color w:val="168578"/>
        <w:sz w:val="16"/>
      </w:rPr>
      <w:t>AEROLINK  /  TECHNICAL OVERVIEW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6" w:color="168578"/>
      </w:pBdr>
    </w:pPr>
    <w:r>
      <w:rPr>
        <w:rFonts w:ascii="Aptos Display" w:hAnsi="Aptos Display"/>
        <w:b/>
        <w:color w:val="168578"/>
        <w:sz w:val="16"/>
      </w:rPr>
      <w:t>AEROLINK  /  TECHNICAL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5364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25364D"/>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