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
        <w:rPr>
          <w:b/>
          <w:bCs/>
          <w:color w:val="1F3864"/>
          <w:sz w:val="52"/>
          <w:szCs w:val="52"/>
        </w:rPr>
      </w:pPr>
      <w:r>
        <w:rPr>
          <w:b/>
          <w:bCs/>
          <w:color w:val="1F3864"/>
          <w:sz w:val="52"/>
          <w:szCs w:val="52"/>
        </w:rPr>
      </w:r>
    </w:p>
    <w:p>
      <w:pPr>
        <w:pStyle w:val="Normal"/>
        <w:spacing w:before="0" w:after="120"/>
        <w:rPr/>
      </w:pPr>
      <w:r>
        <w:rPr>
          <w:color w:val="6B7280"/>
          <w:sz w:val="22"/>
          <w:szCs w:val="22"/>
        </w:rPr>
        <w:t xml:space="preserve">                               </w:t>
      </w:r>
      <w:r>
        <w:rPr>
          <w:color w:val="14316B"/>
          <w:sz w:val="22"/>
          <w:szCs w:val="22"/>
        </w:rPr>
        <w:t xml:space="preserve"> </w:t>
      </w:r>
      <w:r>
        <w:rPr>
          <w:b/>
          <w:bCs/>
          <w:color w:val="14316B"/>
          <w:sz w:val="22"/>
          <w:szCs w:val="22"/>
        </w:rPr>
        <w:t xml:space="preserve">    </w:t>
      </w:r>
      <w:r>
        <w:rPr>
          <w:b/>
          <w:bCs/>
          <w:color w:val="14316B"/>
          <w:sz w:val="30"/>
          <w:szCs w:val="30"/>
        </w:rPr>
        <w:t>Route Step : Airport Search</w:t>
      </w:r>
      <w:r>
        <w:rPr>
          <w:color w:val="063493"/>
          <w:sz w:val="32"/>
          <w:szCs w:val="32"/>
        </w:rPr>
        <w:t xml:space="preserve"> </w:t>
      </w:r>
      <w:r>
        <w:rPr>
          <w:color w:val="6B7280"/>
          <w:sz w:val="22"/>
          <w:szCs w:val="22"/>
        </w:rPr>
        <w:br/>
        <w:br/>
        <w:t>Implementation note: how origin and destination resolve, the decisions taken, and the items pending client confirmation</w:t>
      </w:r>
    </w:p>
    <w:p>
      <w:pPr>
        <w:pStyle w:val="Normal"/>
        <w:pBdr>
          <w:bottom w:val="single" w:sz="20" w:space="2" w:color="1F3864"/>
        </w:pBdr>
        <w:spacing w:before="0" w:after="200"/>
        <w:rPr/>
      </w:pPr>
      <w:r>
        <w:rPr/>
      </w:r>
    </w:p>
    <w:p>
      <w:pPr>
        <w:pStyle w:val="Heading1"/>
        <w:rPr/>
      </w:pPr>
      <w:r>
        <w:rPr/>
        <w:t>1.  What this note covers</w:t>
      </w:r>
    </w:p>
    <w:p>
      <w:pPr>
        <w:pStyle w:val="Normal"/>
        <w:spacing w:lineRule="exact" w:line="276" w:before="0" w:after="140"/>
        <w:rPr/>
      </w:pPr>
      <w:r>
        <w:rPr/>
        <w:t>This note records how the Route step resolves origin and destination airports, the technical decisions taken during implementation under the “continue with the best approach” instruction, and the two items still open for client confirmation. It is a companion to the Flight Builder Architecture Reference, and goes one level deeper than Sections 6 and 12 of that document.</w:t>
      </w:r>
    </w:p>
    <w:tbl>
      <w:tblPr>
        <w:tblW w:w="9360" w:type="dxa"/>
        <w:jc w:val="left"/>
        <w:tblInd w:w="0" w:type="dxa"/>
        <w:tblLayout w:type="fixed"/>
        <w:tblCellMar>
          <w:top w:w="110" w:type="dxa"/>
          <w:left w:w="60" w:type="dxa"/>
          <w:bottom w:w="110" w:type="dxa"/>
          <w:right w:w="60" w:type="dxa"/>
        </w:tblCellMar>
      </w:tblPr>
      <w:tblGrid>
        <w:gridCol w:w="2340"/>
        <w:gridCol w:w="2340"/>
        <w:gridCol w:w="2340"/>
        <w:gridCol w:w="2339"/>
      </w:tblGrid>
      <w:tr>
        <w:trPr>
          <w:cantSplit w:val="true"/>
        </w:trPr>
        <w:tc>
          <w:tcPr>
            <w:tcW w:w="2340" w:type="dxa"/>
            <w:tcBorders>
              <w:right w:val="single" w:sz="28" w:space="0" w:color="FFFFFF"/>
            </w:tcBorders>
            <w:shd w:color="auto" w:fill="EDF2F8" w:val="clear"/>
            <w:vAlign w:val="center"/>
          </w:tcPr>
          <w:p>
            <w:pPr>
              <w:pStyle w:val="Normal"/>
              <w:spacing w:before="40" w:after="30"/>
              <w:jc w:val="center"/>
              <w:rPr/>
            </w:pPr>
            <w:r>
              <w:rPr>
                <w:b/>
                <w:bCs/>
                <w:color w:val="1F3864"/>
                <w:sz w:val="34"/>
                <w:szCs w:val="34"/>
              </w:rPr>
              <w:t>~18k</w:t>
            </w:r>
          </w:p>
          <w:p>
            <w:pPr>
              <w:pStyle w:val="Normal"/>
              <w:spacing w:before="0" w:after="40"/>
              <w:jc w:val="center"/>
              <w:rPr/>
            </w:pPr>
            <w:r>
              <w:rPr>
                <w:color w:val="6B7280"/>
                <w:spacing w:val="18"/>
                <w:sz w:val="13"/>
                <w:szCs w:val="13"/>
              </w:rPr>
              <w:t>AIRFIELDS, FROM 85K RAW</w:t>
            </w:r>
          </w:p>
        </w:tc>
        <w:tc>
          <w:tcPr>
            <w:tcW w:w="2340" w:type="dxa"/>
            <w:tcBorders>
              <w:left w:val="single" w:sz="28" w:space="0" w:color="FFFFFF"/>
              <w:right w:val="single" w:sz="28" w:space="0" w:color="FFFFFF"/>
            </w:tcBorders>
            <w:shd w:color="auto" w:fill="EDF2F8" w:val="clear"/>
            <w:vAlign w:val="center"/>
          </w:tcPr>
          <w:p>
            <w:pPr>
              <w:pStyle w:val="Normal"/>
              <w:spacing w:before="40" w:after="30"/>
              <w:jc w:val="center"/>
              <w:rPr/>
            </w:pPr>
            <w:r>
              <w:rPr>
                <w:b/>
                <w:bCs/>
                <w:color w:val="1F3864"/>
                <w:sz w:val="34"/>
                <w:szCs w:val="34"/>
              </w:rPr>
              <w:t>0.6 MB</w:t>
            </w:r>
          </w:p>
          <w:p>
            <w:pPr>
              <w:pStyle w:val="Normal"/>
              <w:spacing w:before="0" w:after="40"/>
              <w:jc w:val="center"/>
              <w:rPr/>
            </w:pPr>
            <w:r>
              <w:rPr>
                <w:color w:val="6B7280"/>
                <w:spacing w:val="18"/>
                <w:sz w:val="13"/>
                <w:szCs w:val="13"/>
              </w:rPr>
              <w:t>GZIPPED STATIC ASSET</w:t>
            </w:r>
          </w:p>
        </w:tc>
        <w:tc>
          <w:tcPr>
            <w:tcW w:w="2340" w:type="dxa"/>
            <w:tcBorders>
              <w:left w:val="single" w:sz="28" w:space="0" w:color="FFFFFF"/>
              <w:right w:val="single" w:sz="28" w:space="0" w:color="FFFFFF"/>
            </w:tcBorders>
            <w:shd w:color="auto" w:fill="EDF2F8" w:val="clear"/>
            <w:vAlign w:val="center"/>
          </w:tcPr>
          <w:p>
            <w:pPr>
              <w:pStyle w:val="Normal"/>
              <w:spacing w:before="40" w:after="30"/>
              <w:jc w:val="center"/>
              <w:rPr/>
            </w:pPr>
            <w:r>
              <w:rPr>
                <w:b/>
                <w:bCs/>
                <w:color w:val="1F3864"/>
                <w:sz w:val="34"/>
                <w:szCs w:val="34"/>
              </w:rPr>
              <w:t>60 km</w:t>
            </w:r>
          </w:p>
          <w:p>
            <w:pPr>
              <w:pStyle w:val="Normal"/>
              <w:spacing w:before="0" w:after="40"/>
              <w:jc w:val="center"/>
              <w:rPr/>
            </w:pPr>
            <w:r>
              <w:rPr>
                <w:color w:val="6B7280"/>
                <w:spacing w:val="18"/>
                <w:sz w:val="13"/>
                <w:szCs w:val="13"/>
              </w:rPr>
              <w:t>DEFAULT RADIUS, TUNABLE</w:t>
            </w:r>
          </w:p>
        </w:tc>
        <w:tc>
          <w:tcPr>
            <w:tcW w:w="2339" w:type="dxa"/>
            <w:tcBorders>
              <w:left w:val="single" w:sz="28" w:space="0" w:color="FFFFFF"/>
            </w:tcBorders>
            <w:shd w:color="auto" w:fill="EDF2F8" w:val="clear"/>
            <w:vAlign w:val="center"/>
          </w:tcPr>
          <w:p>
            <w:pPr>
              <w:pStyle w:val="Normal"/>
              <w:spacing w:before="40" w:after="30"/>
              <w:jc w:val="center"/>
              <w:rPr/>
            </w:pPr>
            <w:r>
              <w:rPr>
                <w:b/>
                <w:bCs/>
                <w:color w:val="1F3864"/>
                <w:sz w:val="34"/>
                <w:szCs w:val="34"/>
              </w:rPr>
              <w:t>2</w:t>
            </w:r>
          </w:p>
          <w:p>
            <w:pPr>
              <w:pStyle w:val="Normal"/>
              <w:spacing w:before="0" w:after="40"/>
              <w:jc w:val="center"/>
              <w:rPr/>
            </w:pPr>
            <w:r>
              <w:rPr>
                <w:color w:val="6B7280"/>
                <w:spacing w:val="18"/>
                <w:sz w:val="13"/>
                <w:szCs w:val="13"/>
              </w:rPr>
              <w:t>CODES: SEND ICAO, SHOW IATA</w:t>
            </w:r>
          </w:p>
        </w:tc>
      </w:tr>
    </w:tbl>
    <w:p>
      <w:pPr>
        <w:pStyle w:val="Normal"/>
        <w:spacing w:before="0" w:after="60"/>
        <w:rPr/>
      </w:pPr>
      <w:r>
        <w:rPr/>
      </w:r>
    </w:p>
    <w:p>
      <w:pPr>
        <w:pStyle w:val="Heading1"/>
        <w:rPr/>
      </w:pPr>
      <w:r>
        <w:rPr/>
        <w:t>2.  Behaviour, per the agreed model</w:t>
      </w:r>
    </w:p>
    <w:p>
      <w:pPr>
        <w:pStyle w:val="ListParagraph"/>
        <w:numPr>
          <w:ilvl w:val="0"/>
          <w:numId w:val="6"/>
        </w:numPr>
        <w:spacing w:lineRule="exact" w:line="264" w:before="0" w:after="70"/>
        <w:rPr/>
      </w:pPr>
      <w:r>
        <w:rPr>
          <w:b/>
          <w:bCs/>
          <w:color w:val="1F3864"/>
        </w:rPr>
        <w:t xml:space="preserve">Radius search, global. </w:t>
      </w:r>
      <w:r>
        <w:rPr/>
        <w:t>As the Founder types, the engine resolves candidate metros and gathers the airfields within a radius, defaulting to executive and general-aviation fields. The large scheduled-service commercial airport is offered only as the “lock to a specific airport” opt-out.</w:t>
      </w:r>
    </w:p>
    <w:p>
      <w:pPr>
        <w:pStyle w:val="ListParagraph"/>
        <w:numPr>
          <w:ilvl w:val="0"/>
          <w:numId w:val="7"/>
        </w:numPr>
        <w:spacing w:lineRule="exact" w:line="264" w:before="0" w:after="70"/>
        <w:rPr/>
      </w:pPr>
      <w:r>
        <w:rPr>
          <w:b/>
          <w:bCs/>
          <w:color w:val="1F3864"/>
        </w:rPr>
        <w:t xml:space="preserve">Curated overrides, US and Central America. </w:t>
      </w:r>
      <w:r>
        <w:rPr/>
        <w:t>A seed table pins each served metro's executive field or fields, primary first, and is also used to anchor the search reliably. Metros outside the table still resolve from the radius and the GA/executive baseline; they simply lack a hand-tuned override.</w:t>
      </w:r>
    </w:p>
    <w:p>
      <w:pPr>
        <w:pStyle w:val="ListParagraph"/>
        <w:numPr>
          <w:ilvl w:val="0"/>
          <w:numId w:val="8"/>
        </w:numPr>
        <w:spacing w:lineRule="exact" w:line="264" w:before="0" w:after="150"/>
        <w:rPr/>
      </w:pPr>
      <w:r>
        <w:rPr>
          <w:b/>
          <w:bCs/>
          <w:color w:val="1F3864"/>
        </w:rPr>
        <w:t xml:space="preserve">Payload unchanged. </w:t>
      </w:r>
      <w:r>
        <w:rPr/>
        <w:t xml:space="preserve">Selecting a city sends </w:t>
      </w:r>
      <w:r>
        <w:rPr>
          <w:rFonts w:eastAsia="Consolas" w:cs="Consolas" w:ascii="Consolas" w:hAnsi="Consolas"/>
          <w:color w:val="33415C"/>
          <w:sz w:val="18"/>
          <w:szCs w:val="18"/>
          <w:shd w:fill="EEF1F6" w:val="clear"/>
        </w:rPr>
        <w:t>origin_type: "city"</w:t>
      </w:r>
      <w:r>
        <w:rPr/>
        <w:t xml:space="preserve"> with </w:t>
      </w:r>
      <w:r>
        <w:rPr>
          <w:rFonts w:eastAsia="Consolas" w:cs="Consolas" w:ascii="Consolas" w:hAnsi="Consolas"/>
          <w:color w:val="33415C"/>
          <w:sz w:val="18"/>
          <w:szCs w:val="18"/>
          <w:shd w:fill="EEF1F6" w:val="clear"/>
        </w:rPr>
        <w:t>origin_airport_code: null</w:t>
      </w:r>
      <w:r>
        <w:rPr/>
        <w:t xml:space="preserve">. Locking a specific airport sends </w:t>
      </w:r>
      <w:r>
        <w:rPr>
          <w:rFonts w:eastAsia="Consolas" w:cs="Consolas" w:ascii="Consolas" w:hAnsi="Consolas"/>
          <w:color w:val="33415C"/>
          <w:sz w:val="18"/>
          <w:szCs w:val="18"/>
          <w:shd w:fill="EEF1F6" w:val="clear"/>
        </w:rPr>
        <w:t>origin_type: "airport"</w:t>
      </w:r>
      <w:r>
        <w:rPr/>
        <w:t xml:space="preserve"> with the code populated. The destination side is symmetric.</w:t>
      </w:r>
    </w:p>
    <w:p>
      <w:pPr>
        <w:pStyle w:val="Heading1"/>
        <w:rPr/>
      </w:pPr>
      <w:r>
        <w:rPr/>
        <w:t>3.  Architecture</w:t>
      </w:r>
    </w:p>
    <w:tbl>
      <w:tblPr>
        <w:tblW w:w="9360" w:type="dxa"/>
        <w:jc w:val="left"/>
        <w:tblInd w:w="0" w:type="dxa"/>
        <w:tblLayout w:type="fixed"/>
        <w:tblCellMar>
          <w:top w:w="90" w:type="dxa"/>
          <w:left w:w="120" w:type="dxa"/>
          <w:bottom w:w="90" w:type="dxa"/>
          <w:right w:w="120" w:type="dxa"/>
        </w:tblCellMar>
      </w:tblPr>
      <w:tblGrid>
        <w:gridCol w:w="3800"/>
        <w:gridCol w:w="5559"/>
      </w:tblGrid>
      <w:tr>
        <w:trPr>
          <w:tblHeader w:val="true"/>
          <w:cantSplit w:val="true"/>
        </w:trPr>
        <w:tc>
          <w:tcPr>
            <w:tcW w:w="3800" w:type="dxa"/>
            <w:tcBorders>
              <w:bottom w:val="single" w:sz="4" w:space="0" w:color="DDE3EA"/>
            </w:tcBorders>
            <w:shd w:color="auto" w:fill="1F3864" w:val="clear"/>
            <w:vAlign w:val="center"/>
          </w:tcPr>
          <w:p>
            <w:pPr>
              <w:pStyle w:val="Normal"/>
              <w:spacing w:before="20" w:after="20"/>
              <w:rPr/>
            </w:pPr>
            <w:r>
              <w:rPr>
                <w:b/>
                <w:bCs/>
                <w:color w:val="FFFFFF"/>
                <w:sz w:val="20"/>
                <w:szCs w:val="20"/>
              </w:rPr>
              <w:t>Piece</w:t>
            </w:r>
          </w:p>
        </w:tc>
        <w:tc>
          <w:tcPr>
            <w:tcW w:w="5559" w:type="dxa"/>
            <w:tcBorders>
              <w:bottom w:val="single" w:sz="4" w:space="0" w:color="DDE3EA"/>
            </w:tcBorders>
            <w:shd w:color="auto" w:fill="1F3864" w:val="clear"/>
            <w:vAlign w:val="center"/>
          </w:tcPr>
          <w:p>
            <w:pPr>
              <w:pStyle w:val="Normal"/>
              <w:spacing w:before="20" w:after="20"/>
              <w:rPr/>
            </w:pPr>
            <w:r>
              <w:rPr>
                <w:b/>
                <w:bCs/>
                <w:color w:val="FFFFFF"/>
                <w:sz w:val="20"/>
                <w:szCs w:val="20"/>
              </w:rPr>
              <w:t>File</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Lazy dataset loader (fetch once, cache in memory)</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src/features/flight-builder/data/airportsDataset.ts</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Radius engine (haversine, classify, override, dedupe)</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src/features/flight-builder/data/radiusSearch.ts</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Tunables (radius, code format, limits)</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src/features/flight-builder/config/routeConfig.ts</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Curated override seed</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src/features/flight-builder/config/executiveOverrides.ts</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Service entry (UI contract unchanged)</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src/api/services/locationService.ts</w:t>
            </w:r>
          </w:p>
        </w:tc>
      </w:tr>
      <w:tr>
        <w:trPr>
          <w:cantSplit w:val="true"/>
        </w:trPr>
        <w:tc>
          <w:tcPr>
            <w:tcW w:w="380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Dataset build script</w:t>
            </w:r>
          </w:p>
        </w:tc>
        <w:tc>
          <w:tcPr>
            <w:tcW w:w="5559"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6"/>
                <w:szCs w:val="16"/>
                <w:shd w:fill="EEF1F6" w:val="clear"/>
              </w:rPr>
              <w:t>scripts/build-airports-dataset.mjs</w:t>
            </w:r>
          </w:p>
        </w:tc>
      </w:tr>
      <w:tr>
        <w:trPr>
          <w:cantSplit w:val="true"/>
        </w:trPr>
        <w:tc>
          <w:tcPr>
            <w:tcW w:w="3800"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Dataset (static asset)</w:t>
            </w:r>
          </w:p>
        </w:tc>
        <w:tc>
          <w:tcPr>
            <w:tcW w:w="5559" w:type="dxa"/>
            <w:tcBorders>
              <w:top w:val="single" w:sz="4" w:space="0" w:color="DDE3EA"/>
              <w:bottom w:val="single" w:sz="6" w:space="0" w:color="B9C4D0"/>
            </w:tcBorders>
            <w:vAlign w:val="center"/>
          </w:tcPr>
          <w:p>
            <w:pPr>
              <w:pStyle w:val="Normal"/>
              <w:spacing w:lineRule="exact" w:line="264" w:before="20" w:after="20"/>
              <w:rPr/>
            </w:pPr>
            <w:r>
              <w:rPr>
                <w:rFonts w:eastAsia="Consolas" w:cs="Consolas" w:ascii="Consolas" w:hAnsi="Consolas"/>
                <w:color w:val="33415C"/>
                <w:sz w:val="16"/>
                <w:szCs w:val="16"/>
                <w:shd w:fill="EEF1F6" w:val="clear"/>
              </w:rPr>
              <w:t>public/data/airports.json</w:t>
            </w:r>
          </w:p>
        </w:tc>
      </w:tr>
    </w:tbl>
    <w:p>
      <w:pPr>
        <w:pStyle w:val="Normal"/>
        <w:spacing w:before="0" w:after="80"/>
        <w:rPr/>
      </w:pPr>
      <w:r>
        <w:rPr/>
      </w:r>
    </w:p>
    <w:tbl>
      <w:tblPr>
        <w:tblW w:w="9360" w:type="dxa"/>
        <w:jc w:val="left"/>
        <w:tblInd w:w="0" w:type="dxa"/>
        <w:tblLayout w:type="fixed"/>
        <w:tblCellMar>
          <w:top w:w="120" w:type="dxa"/>
          <w:left w:w="200" w:type="dxa"/>
          <w:bottom w:w="120" w:type="dxa"/>
          <w:right w:w="140" w:type="dxa"/>
        </w:tblCellMar>
      </w:tblPr>
      <w:tblGrid>
        <w:gridCol w:w="9360"/>
      </w:tblGrid>
      <w:tr>
        <w:trPr>
          <w:cantSplit w:val="true"/>
        </w:trPr>
        <w:tc>
          <w:tcPr>
            <w:tcW w:w="9360" w:type="dxa"/>
            <w:tcBorders>
              <w:left w:val="single" w:sz="22" w:space="0" w:color="1F3864"/>
            </w:tcBorders>
            <w:shd w:color="auto" w:fill="F3F6FA" w:val="clear"/>
          </w:tcPr>
          <w:p>
            <w:pPr>
              <w:pStyle w:val="Normal"/>
              <w:spacing w:lineRule="exact" w:line="264" w:before="0" w:after="0"/>
              <w:rPr/>
            </w:pPr>
            <w:r>
              <w:rPr>
                <w:b/>
                <w:bCs/>
                <w:color w:val="1F3864"/>
              </w:rPr>
              <w:t xml:space="preserve">The Route picker UI is untouched. </w:t>
            </w:r>
            <w:r>
              <w:rPr>
                <w:rFonts w:eastAsia="Consolas" w:cs="Consolas" w:ascii="Consolas" w:hAnsi="Consolas"/>
                <w:color w:val="33415C"/>
                <w:sz w:val="18"/>
                <w:szCs w:val="18"/>
                <w:shd w:fill="EEF1F6" w:val="clear"/>
              </w:rPr>
              <w:t>LocationField.tsx</w:t>
            </w:r>
            <w:r>
              <w:rPr/>
              <w:t xml:space="preserve"> still consumes </w:t>
            </w:r>
            <w:r>
              <w:rPr>
                <w:rFonts w:eastAsia="Consolas" w:cs="Consolas" w:ascii="Consolas" w:hAnsi="Consolas"/>
                <w:color w:val="33415C"/>
                <w:sz w:val="18"/>
                <w:szCs w:val="18"/>
                <w:shd w:fill="EEF1F6" w:val="clear"/>
              </w:rPr>
              <w:t>locationService.searchLocations(): Promise&lt;CityOption[]&gt;</w:t>
            </w:r>
            <w:r>
              <w:rPr/>
              <w:t>. Only the data source moved, from a hardcoded list to the radius engine, so nothing changes visually or in the component contract.</w:t>
            </w:r>
          </w:p>
        </w:tc>
      </w:tr>
    </w:tbl>
    <w:p>
      <w:pPr>
        <w:pStyle w:val="Normal"/>
        <w:spacing w:before="0" w:after="40"/>
        <w:rPr/>
      </w:pPr>
      <w:r>
        <w:rPr/>
      </w:r>
    </w:p>
    <w:p>
      <w:pPr>
        <w:pStyle w:val="Heading1"/>
        <w:rPr/>
      </w:pPr>
      <w:r>
        <w:rPr/>
        <w:t>4.  The dataset</w:t>
      </w:r>
    </w:p>
    <w:p>
      <w:pPr>
        <w:pStyle w:val="ListParagraph"/>
        <w:numPr>
          <w:ilvl w:val="0"/>
          <w:numId w:val="9"/>
        </w:numPr>
        <w:spacing w:lineRule="exact" w:line="264" w:before="0" w:after="70"/>
        <w:rPr/>
      </w:pPr>
      <w:r>
        <w:rPr>
          <w:b/>
          <w:bCs/>
          <w:color w:val="1F3864"/>
        </w:rPr>
        <w:t xml:space="preserve">Source: OurAirports, public domain. </w:t>
      </w:r>
      <w:r>
        <w:rPr/>
        <w:t xml:space="preserve">Regenerate with </w:t>
      </w:r>
      <w:r>
        <w:rPr>
          <w:rFonts w:eastAsia="Consolas" w:cs="Consolas" w:ascii="Consolas" w:hAnsi="Consolas"/>
          <w:color w:val="33415C"/>
          <w:sz w:val="18"/>
          <w:szCs w:val="18"/>
          <w:shd w:fill="EEF1F6" w:val="clear"/>
        </w:rPr>
        <w:t>node scripts/build-airports-dataset.mjs</w:t>
      </w:r>
      <w:r>
        <w:rPr/>
        <w:t xml:space="preserve"> after placing the three source CSVs in </w:t>
      </w:r>
      <w:r>
        <w:rPr>
          <w:rFonts w:eastAsia="Consolas" w:cs="Consolas" w:ascii="Consolas" w:hAnsi="Consolas"/>
          <w:color w:val="33415C"/>
          <w:sz w:val="18"/>
          <w:szCs w:val="18"/>
          <w:shd w:fill="EEF1F6" w:val="clear"/>
        </w:rPr>
        <w:t>scripts/ourairports-src/</w:t>
      </w:r>
      <w:r>
        <w:rPr/>
        <w:t xml:space="preserve"> (gitignored).</w:t>
      </w:r>
    </w:p>
    <w:p>
      <w:pPr>
        <w:pStyle w:val="ListParagraph"/>
        <w:numPr>
          <w:ilvl w:val="0"/>
          <w:numId w:val="10"/>
        </w:numPr>
        <w:spacing w:lineRule="exact" w:line="264" w:before="0" w:after="70"/>
        <w:rPr/>
      </w:pPr>
      <w:r>
        <w:rPr>
          <w:b/>
          <w:bCs/>
          <w:color w:val="1F3864"/>
        </w:rPr>
        <w:t xml:space="preserve">Trimmed from roughly 85,000 rows to about 18,000 real fixed-wing fields. </w:t>
      </w:r>
      <w:r>
        <w:rPr/>
        <w:t>The build keeps large, medium, and small airports that carry a real ICAO (4-letter) or IATA (3-letter) code, and drops heliports, seaplane and balloon bases, closed fields, synthetic-ident private strips (</w:t>
      </w:r>
      <w:r>
        <w:rPr>
          <w:rFonts w:eastAsia="Consolas" w:cs="Consolas" w:ascii="Consolas" w:hAnsi="Consolas"/>
          <w:color w:val="33415C"/>
          <w:sz w:val="18"/>
          <w:szCs w:val="18"/>
          <w:shd w:fill="EEF1F6" w:val="clear"/>
        </w:rPr>
        <w:t>US-1234</w:t>
      </w:r>
      <w:r>
        <w:rPr/>
        <w:t>), and ultralight or glider parks.</w:t>
      </w:r>
    </w:p>
    <w:p>
      <w:pPr>
        <w:pStyle w:val="ListParagraph"/>
        <w:numPr>
          <w:ilvl w:val="0"/>
          <w:numId w:val="11"/>
        </w:numPr>
        <w:spacing w:lineRule="exact" w:line="264" w:before="0" w:after="150"/>
        <w:rPr/>
      </w:pPr>
      <w:r>
        <w:rPr>
          <w:b/>
          <w:bCs/>
          <w:color w:val="1F3864"/>
        </w:rPr>
        <w:t xml:space="preserve">Roughly 2.7 MB raw, 0.6 MB gzipped. </w:t>
      </w:r>
      <w:r>
        <w:rPr/>
        <w:t xml:space="preserve">Shipped as a static asset in </w:t>
      </w:r>
      <w:r>
        <w:rPr>
          <w:rFonts w:eastAsia="Consolas" w:cs="Consolas" w:ascii="Consolas" w:hAnsi="Consolas"/>
          <w:color w:val="33415C"/>
          <w:sz w:val="18"/>
          <w:szCs w:val="18"/>
          <w:shd w:fill="EEF1F6" w:val="clear"/>
        </w:rPr>
        <w:t>public/</w:t>
      </w:r>
      <w:r>
        <w:rPr/>
        <w:t xml:space="preserve"> and fetched once at runtime, then cached in memory. It is deliberately not bundled, so the JS bundle stays small while coverage stays global.</w:t>
      </w:r>
    </w:p>
    <w:p>
      <w:pPr>
        <w:pStyle w:val="Heading1"/>
        <w:rPr/>
      </w:pPr>
      <w:r>
        <w:rPr/>
        <w:t>5.  Technical decisions</w:t>
      </w:r>
    </w:p>
    <w:p>
      <w:pPr>
        <w:pStyle w:val="Normal"/>
        <w:spacing w:lineRule="exact" w:line="276" w:before="0" w:after="140"/>
        <w:rPr/>
      </w:pPr>
      <w:r>
        <w:rPr/>
        <w:t>These decisions were taken under the client's “continue with the best approach” instruction, and are recorded here so the reasoning is visible rather than buried in the code.</w:t>
      </w:r>
    </w:p>
    <w:p>
      <w:pPr>
        <w:pStyle w:val="ListParagraph"/>
        <w:numPr>
          <w:ilvl w:val="0"/>
          <w:numId w:val="12"/>
        </w:numPr>
        <w:spacing w:lineRule="exact" w:line="264" w:before="0" w:after="90"/>
        <w:rPr/>
      </w:pPr>
      <w:r>
        <w:rPr>
          <w:b/>
          <w:bCs/>
          <w:color w:val="1F3864"/>
        </w:rPr>
        <w:t xml:space="preserve">Dataset as a lazily fetched static asset, not bundled. </w:t>
      </w:r>
      <w:r>
        <w:rPr/>
        <w:t xml:space="preserve">Eighteen thousand airports is too large for the JS bundle. Serving from </w:t>
      </w:r>
      <w:r>
        <w:rPr>
          <w:rFonts w:eastAsia="Consolas" w:cs="Consolas" w:ascii="Consolas" w:hAnsi="Consolas"/>
          <w:color w:val="33415C"/>
          <w:sz w:val="18"/>
          <w:szCs w:val="18"/>
          <w:shd w:fill="EEF1F6" w:val="clear"/>
        </w:rPr>
        <w:t>public/</w:t>
      </w:r>
      <w:r>
        <w:rPr/>
        <w:t xml:space="preserve"> with one cached fetch keeps the bundle lean and the data global, which was the requirement that drove the decision.</w:t>
      </w:r>
    </w:p>
    <w:p>
      <w:pPr>
        <w:pStyle w:val="ListParagraph"/>
        <w:numPr>
          <w:ilvl w:val="0"/>
          <w:numId w:val="13"/>
        </w:numPr>
        <w:spacing w:lineRule="exact" w:line="264" w:before="0" w:after="90"/>
        <w:rPr/>
      </w:pPr>
      <w:r>
        <w:rPr>
          <w:b/>
          <w:bCs/>
          <w:color w:val="1F3864"/>
        </w:rPr>
        <w:t xml:space="preserve">Classification. </w:t>
      </w:r>
      <w:r>
        <w:rPr/>
        <w:t>An airport is treated as Commercial (the opt-out) when it is a large field with scheduled service; everything else is Executive/GA (the default). This matches the “executive default, commercial opt-out” requirement using the data available.</w:t>
      </w:r>
    </w:p>
    <w:p>
      <w:pPr>
        <w:pStyle w:val="ListParagraph"/>
        <w:numPr>
          <w:ilvl w:val="0"/>
          <w:numId w:val="14"/>
        </w:numPr>
        <w:spacing w:lineRule="exact" w:line="264" w:before="0" w:after="90"/>
        <w:rPr/>
      </w:pPr>
      <w:r>
        <w:rPr>
          <w:b/>
          <w:bCs/>
          <w:color w:val="1F3864"/>
        </w:rPr>
        <w:t xml:space="preserve">Guaranteed commercial opt-out. </w:t>
      </w:r>
      <w:r>
        <w:rPr/>
        <w:t>Executive fields can fill every visible slot, so the engine reserves the last slot for the nearest commercial field. The “lock to a specific airport” option is therefore always available.</w:t>
      </w:r>
    </w:p>
    <w:p>
      <w:pPr>
        <w:pStyle w:val="ListParagraph"/>
        <w:numPr>
          <w:ilvl w:val="0"/>
          <w:numId w:val="15"/>
        </w:numPr>
        <w:spacing w:lineRule="exact" w:line="264" w:before="0" w:after="90"/>
        <w:rPr/>
      </w:pPr>
      <w:r>
        <w:rPr>
          <w:b/>
          <w:bCs/>
          <w:color w:val="1F3864"/>
        </w:rPr>
        <w:t xml:space="preserve">Override-anchored curated metros. </w:t>
      </w:r>
      <w:r>
        <w:rPr/>
        <w:t>OurAirports labels some metros' fields under varying municipalities: Panama City's fields sit under “Albrook” and “Tocumen”, for example, so a plain municipality match misses them. For curated metros the radius is anchored on the override's primary executive field, so served markets resolve reliably regardless of labelling.</w:t>
      </w:r>
    </w:p>
    <w:p>
      <w:pPr>
        <w:pStyle w:val="ListParagraph"/>
        <w:numPr>
          <w:ilvl w:val="0"/>
          <w:numId w:val="16"/>
        </w:numPr>
        <w:spacing w:lineRule="exact" w:line="264" w:before="0" w:after="150"/>
        <w:rPr/>
      </w:pPr>
      <w:r>
        <w:rPr>
          <w:b/>
          <w:bCs/>
          <w:color w:val="1F3864"/>
        </w:rPr>
        <w:t xml:space="preserve">Junk filtering. </w:t>
      </w:r>
      <w:r>
        <w:rPr/>
        <w:t>A real ICAO or IATA code is required, and ultralight, glider, balloon, and “[delete]”-named entries are excluded. These otherwise polluted results with private strips a jet would not use.</w:t>
      </w:r>
    </w:p>
    <w:p>
      <w:pPr>
        <w:pStyle w:val="Heading1"/>
        <w:rPr/>
      </w:pPr>
      <w:r>
        <w:rPr/>
        <w:t>6.  Code format, confirmed: ICAO sent, IATA shown</w:t>
      </w:r>
    </w:p>
    <w:p>
      <w:pPr>
        <w:pStyle w:val="Normal"/>
        <w:spacing w:lineRule="exact" w:line="276" w:before="0" w:after="140"/>
        <w:rPr/>
      </w:pPr>
      <w:r>
        <w:rPr/>
        <w:t xml:space="preserve">The client has confirmed that the payload </w:t>
      </w:r>
      <w:r>
        <w:rPr>
          <w:rFonts w:eastAsia="Consolas" w:cs="Consolas" w:ascii="Consolas" w:hAnsi="Consolas"/>
          <w:color w:val="33415C"/>
          <w:sz w:val="18"/>
          <w:szCs w:val="18"/>
          <w:shd w:fill="EEF1F6" w:val="clear"/>
        </w:rPr>
        <w:t>airport_code</w:t>
      </w:r>
      <w:r>
        <w:rPr/>
        <w:t xml:space="preserve"> is ICAO (</w:t>
      </w:r>
      <w:r>
        <w:rPr>
          <w:rFonts w:eastAsia="Consolas" w:cs="Consolas" w:ascii="Consolas" w:hAnsi="Consolas"/>
          <w:color w:val="33415C"/>
          <w:sz w:val="18"/>
          <w:szCs w:val="18"/>
          <w:shd w:fill="EEF1F6" w:val="clear"/>
        </w:rPr>
        <w:t>KOPF</w:t>
      </w:r>
      <w:r>
        <w:rPr/>
        <w:t xml:space="preserve">, </w:t>
      </w:r>
      <w:r>
        <w:rPr>
          <w:rFonts w:eastAsia="Consolas" w:cs="Consolas" w:ascii="Consolas" w:hAnsi="Consolas"/>
          <w:color w:val="33415C"/>
          <w:sz w:val="18"/>
          <w:szCs w:val="18"/>
          <w:shd w:fill="EEF1F6" w:val="clear"/>
        </w:rPr>
        <w:t>KTMB</w:t>
      </w:r>
      <w:r>
        <w:rPr/>
        <w:t>, and so on). OurAirports keys on ICAO, and many executive and GA fields have no IATA code, so ICAO is the only code guaranteed to exist. The model therefore carries two codes side by side:</w:t>
      </w:r>
    </w:p>
    <w:tbl>
      <w:tblPr>
        <w:tblW w:w="9360" w:type="dxa"/>
        <w:jc w:val="left"/>
        <w:tblInd w:w="0" w:type="dxa"/>
        <w:tblLayout w:type="fixed"/>
        <w:tblCellMar>
          <w:top w:w="90" w:type="dxa"/>
          <w:left w:w="120" w:type="dxa"/>
          <w:bottom w:w="90" w:type="dxa"/>
          <w:right w:w="120" w:type="dxa"/>
        </w:tblCellMar>
      </w:tblPr>
      <w:tblGrid>
        <w:gridCol w:w="1650"/>
        <w:gridCol w:w="2750"/>
        <w:gridCol w:w="4960"/>
      </w:tblGrid>
      <w:tr>
        <w:trPr>
          <w:tblHeader w:val="true"/>
          <w:cantSplit w:val="true"/>
        </w:trPr>
        <w:tc>
          <w:tcPr>
            <w:tcW w:w="1650" w:type="dxa"/>
            <w:tcBorders>
              <w:bottom w:val="single" w:sz="4" w:space="0" w:color="DDE3EA"/>
            </w:tcBorders>
            <w:shd w:color="auto" w:fill="1F3864" w:val="clear"/>
            <w:vAlign w:val="center"/>
          </w:tcPr>
          <w:p>
            <w:pPr>
              <w:pStyle w:val="Normal"/>
              <w:spacing w:before="20" w:after="20"/>
              <w:rPr/>
            </w:pPr>
            <w:r>
              <w:rPr>
                <w:b/>
                <w:bCs/>
                <w:color w:val="FFFFFF"/>
                <w:sz w:val="20"/>
                <w:szCs w:val="20"/>
              </w:rPr>
              <w:t>Field</w:t>
            </w:r>
          </w:p>
        </w:tc>
        <w:tc>
          <w:tcPr>
            <w:tcW w:w="2750" w:type="dxa"/>
            <w:tcBorders>
              <w:bottom w:val="single" w:sz="4" w:space="0" w:color="DDE3EA"/>
            </w:tcBorders>
            <w:shd w:color="auto" w:fill="1F3864" w:val="clear"/>
            <w:vAlign w:val="center"/>
          </w:tcPr>
          <w:p>
            <w:pPr>
              <w:pStyle w:val="Normal"/>
              <w:spacing w:before="20" w:after="20"/>
              <w:rPr/>
            </w:pPr>
            <w:r>
              <w:rPr>
                <w:b/>
                <w:bCs/>
                <w:color w:val="FFFFFF"/>
                <w:sz w:val="20"/>
                <w:szCs w:val="20"/>
              </w:rPr>
              <w:t>Format</w:t>
            </w:r>
          </w:p>
        </w:tc>
        <w:tc>
          <w:tcPr>
            <w:tcW w:w="4960" w:type="dxa"/>
            <w:tcBorders>
              <w:bottom w:val="single" w:sz="4" w:space="0" w:color="DDE3EA"/>
            </w:tcBorders>
            <w:shd w:color="auto" w:fill="1F3864" w:val="clear"/>
            <w:vAlign w:val="center"/>
          </w:tcPr>
          <w:p>
            <w:pPr>
              <w:pStyle w:val="Normal"/>
              <w:spacing w:before="20" w:after="20"/>
              <w:rPr/>
            </w:pPr>
            <w:r>
              <w:rPr>
                <w:b/>
                <w:bCs/>
                <w:color w:val="FFFFFF"/>
                <w:sz w:val="20"/>
                <w:szCs w:val="20"/>
              </w:rPr>
              <w:t>Where it is used</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rFonts w:eastAsia="Consolas" w:cs="Consolas" w:ascii="Consolas" w:hAnsi="Consolas"/>
                <w:color w:val="33415C"/>
                <w:sz w:val="18"/>
                <w:szCs w:val="18"/>
                <w:shd w:fill="EEF1F6" w:val="clear"/>
              </w:rPr>
              <w:t>code</w:t>
            </w:r>
          </w:p>
        </w:tc>
        <w:tc>
          <w:tcPr>
            <w:tcW w:w="275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 xml:space="preserve">ICAO, for example </w:t>
            </w:r>
            <w:r>
              <w:rPr>
                <w:rFonts w:eastAsia="Consolas" w:cs="Consolas" w:ascii="Consolas" w:hAnsi="Consolas"/>
                <w:color w:val="33415C"/>
                <w:sz w:val="18"/>
                <w:szCs w:val="18"/>
                <w:shd w:fill="EEF1F6" w:val="clear"/>
              </w:rPr>
              <w:t>KOPF</w:t>
            </w:r>
          </w:p>
        </w:tc>
        <w:tc>
          <w:tcPr>
            <w:tcW w:w="4960"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 xml:space="preserve">The value sent to the backend as </w:t>
            </w:r>
            <w:r>
              <w:rPr>
                <w:rFonts w:eastAsia="Consolas" w:cs="Consolas" w:ascii="Consolas" w:hAnsi="Consolas"/>
                <w:color w:val="33415C"/>
                <w:sz w:val="18"/>
                <w:szCs w:val="18"/>
                <w:shd w:fill="EEF1F6" w:val="clear"/>
              </w:rPr>
              <w:t>airport_code</w:t>
            </w:r>
            <w:r>
              <w:rPr>
                <w:color w:val="2B2B2B"/>
                <w:sz w:val="20"/>
                <w:szCs w:val="20"/>
              </w:rPr>
              <w:t xml:space="preserve"> (</w:t>
            </w:r>
            <w:r>
              <w:rPr>
                <w:rFonts w:eastAsia="Consolas" w:cs="Consolas" w:ascii="Consolas" w:hAnsi="Consolas"/>
                <w:color w:val="33415C"/>
                <w:sz w:val="18"/>
                <w:szCs w:val="18"/>
                <w:shd w:fill="EEF1F6" w:val="clear"/>
              </w:rPr>
              <w:t>PAYLOAD_CODE_FORMAT = 'icao'</w:t>
            </w:r>
            <w:r>
              <w:rPr>
                <w:color w:val="2B2B2B"/>
                <w:sz w:val="20"/>
                <w:szCs w:val="20"/>
              </w:rPr>
              <w:t>).</w:t>
            </w:r>
          </w:p>
        </w:tc>
      </w:tr>
      <w:tr>
        <w:trPr>
          <w:cantSplit w:val="true"/>
        </w:trPr>
        <w:tc>
          <w:tcPr>
            <w:tcW w:w="1650" w:type="dxa"/>
            <w:tcBorders>
              <w:top w:val="single" w:sz="4" w:space="0" w:color="DDE3EA"/>
              <w:bottom w:val="single" w:sz="6" w:space="0" w:color="B9C4D0"/>
            </w:tcBorders>
            <w:vAlign w:val="center"/>
          </w:tcPr>
          <w:p>
            <w:pPr>
              <w:pStyle w:val="Normal"/>
              <w:spacing w:lineRule="exact" w:line="264" w:before="20" w:after="20"/>
              <w:rPr/>
            </w:pPr>
            <w:r>
              <w:rPr>
                <w:rFonts w:eastAsia="Consolas" w:cs="Consolas" w:ascii="Consolas" w:hAnsi="Consolas"/>
                <w:color w:val="33415C"/>
                <w:sz w:val="18"/>
                <w:szCs w:val="18"/>
                <w:shd w:fill="EEF1F6" w:val="clear"/>
              </w:rPr>
              <w:t>displayCode</w:t>
            </w:r>
          </w:p>
        </w:tc>
        <w:tc>
          <w:tcPr>
            <w:tcW w:w="2750"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 xml:space="preserve">IATA when present, ICAO fallback, for example </w:t>
            </w:r>
            <w:r>
              <w:rPr>
                <w:rFonts w:eastAsia="Consolas" w:cs="Consolas" w:ascii="Consolas" w:hAnsi="Consolas"/>
                <w:color w:val="33415C"/>
                <w:sz w:val="18"/>
                <w:szCs w:val="18"/>
                <w:shd w:fill="EEF1F6" w:val="clear"/>
              </w:rPr>
              <w:t>OPF</w:t>
            </w:r>
          </w:p>
        </w:tc>
        <w:tc>
          <w:tcPr>
            <w:tcW w:w="4960"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Everything on screen: picker rows, the selected-field label, the route summary (</w:t>
            </w:r>
            <w:r>
              <w:rPr>
                <w:rFonts w:eastAsia="Consolas" w:cs="Consolas" w:ascii="Consolas" w:hAnsi="Consolas"/>
                <w:color w:val="33415C"/>
                <w:sz w:val="18"/>
                <w:szCs w:val="18"/>
                <w:shd w:fill="EEF1F6" w:val="clear"/>
              </w:rPr>
              <w:t>placeWithCode</w:t>
            </w:r>
            <w:r>
              <w:rPr>
                <w:color w:val="2B2B2B"/>
                <w:sz w:val="20"/>
                <w:szCs w:val="20"/>
              </w:rPr>
              <w:t>), and the group code and share slug (</w:t>
            </w:r>
            <w:r>
              <w:rPr>
                <w:rFonts w:eastAsia="Consolas" w:cs="Consolas" w:ascii="Consolas" w:hAnsi="Consolas"/>
                <w:color w:val="33415C"/>
                <w:sz w:val="18"/>
                <w:szCs w:val="18"/>
                <w:shd w:fill="EEF1F6" w:val="clear"/>
              </w:rPr>
              <w:t>202606-SFO-JFK-01</w:t>
            </w:r>
            <w:r>
              <w:rPr>
                <w:color w:val="2B2B2B"/>
                <w:sz w:val="20"/>
                <w:szCs w:val="20"/>
              </w:rPr>
              <w:t>).</w:t>
            </w:r>
          </w:p>
        </w:tc>
      </w:tr>
    </w:tbl>
    <w:p>
      <w:pPr>
        <w:pStyle w:val="Normal"/>
        <w:spacing w:before="0" w:after="80"/>
        <w:rPr/>
      </w:pPr>
      <w:r>
        <w:rPr/>
      </w:r>
    </w:p>
    <w:p>
      <w:pPr>
        <w:pStyle w:val="Normal"/>
        <w:spacing w:lineRule="exact" w:line="276" w:before="0" w:after="140"/>
        <w:rPr/>
      </w:pPr>
      <w:r>
        <w:rPr/>
        <w:t>A field with no IATA code falls back to ICAO for display rather than showing a blank, per the client's note. The Zoho payload value stays ICAO in every case.</w:t>
      </w:r>
    </w:p>
    <w:p>
      <w:pPr>
        <w:pStyle w:val="Heading1"/>
        <w:rPr/>
      </w:pPr>
      <w:r>
        <w:rPr/>
        <w:t>7.  Open items, pending client confirmation</w:t>
      </w:r>
    </w:p>
    <w:p>
      <w:pPr>
        <w:pStyle w:val="Normal"/>
        <w:spacing w:lineRule="exact" w:line="276" w:before="0" w:after="140"/>
        <w:rPr/>
      </w:pPr>
      <w:r>
        <w:rPr/>
        <w:t>Both items are built with a safe default and a clean seam, so confirmation is a one-line change, not rework.</w:t>
      </w:r>
    </w:p>
    <w:p>
      <w:pPr>
        <w:pStyle w:val="ListParagraph"/>
        <w:numPr>
          <w:ilvl w:val="0"/>
          <w:numId w:val="17"/>
        </w:numPr>
        <w:spacing w:lineRule="exact" w:line="264" w:before="0" w:after="70"/>
        <w:rPr/>
      </w:pPr>
      <w:r>
        <w:rPr>
          <w:b/>
          <w:bCs/>
          <w:color w:val="1F3864"/>
        </w:rPr>
        <w:t xml:space="preserve">Radius value and filter. </w:t>
      </w:r>
      <w:r>
        <w:rPr>
          <w:rFonts w:eastAsia="Consolas" w:cs="Consolas" w:ascii="Consolas" w:hAnsi="Consolas"/>
          <w:color w:val="33415C"/>
          <w:sz w:val="18"/>
          <w:szCs w:val="18"/>
          <w:shd w:fill="EEF1F6" w:val="clear"/>
        </w:rPr>
        <w:t>RADIUS_KM</w:t>
      </w:r>
      <w:r>
        <w:rPr/>
        <w:t xml:space="preserve"> currently sits at 60. The value, and the exact GA-versus-commercial filter, are centralized in </w:t>
      </w:r>
      <w:r>
        <w:rPr>
          <w:rFonts w:eastAsia="Consolas" w:cs="Consolas" w:ascii="Consolas" w:hAnsi="Consolas"/>
          <w:color w:val="33415C"/>
          <w:sz w:val="18"/>
          <w:szCs w:val="18"/>
          <w:shd w:fill="EEF1F6" w:val="clear"/>
        </w:rPr>
        <w:t>routeConfig.ts</w:t>
      </w:r>
      <w:r>
        <w:rPr/>
        <w:t xml:space="preserve"> and the </w:t>
      </w:r>
      <w:r>
        <w:rPr>
          <w:rFonts w:eastAsia="Consolas" w:cs="Consolas" w:ascii="Consolas" w:hAnsi="Consolas"/>
          <w:color w:val="33415C"/>
          <w:sz w:val="18"/>
          <w:szCs w:val="18"/>
          <w:shd w:fill="EEF1F6" w:val="clear"/>
        </w:rPr>
        <w:t>classify()</w:t>
      </w:r>
      <w:r>
        <w:rPr/>
        <w:t xml:space="preserve"> helper for a one-line lock once confirmed.</w:t>
      </w:r>
    </w:p>
    <w:p>
      <w:pPr>
        <w:pStyle w:val="ListParagraph"/>
        <w:numPr>
          <w:ilvl w:val="0"/>
          <w:numId w:val="18"/>
        </w:numPr>
        <w:spacing w:lineRule="exact" w:line="264" w:before="0" w:after="150"/>
        <w:rPr/>
      </w:pPr>
      <w:r>
        <w:rPr>
          <w:b/>
          <w:bCs/>
          <w:color w:val="1F3864"/>
        </w:rPr>
        <w:t xml:space="preserve">Override values. </w:t>
      </w:r>
      <w:r>
        <w:rPr/>
        <w:t xml:space="preserve">The Central America entries in particular may receive small corrections from Charles. They are pure data in </w:t>
      </w:r>
      <w:r>
        <w:rPr>
          <w:rFonts w:eastAsia="Consolas" w:cs="Consolas" w:ascii="Consolas" w:hAnsi="Consolas"/>
          <w:color w:val="33415C"/>
          <w:sz w:val="18"/>
          <w:szCs w:val="18"/>
          <w:shd w:fill="EEF1F6" w:val="clear"/>
        </w:rPr>
        <w:t>executiveOverrides.ts</w:t>
      </w:r>
      <w:r>
        <w:rPr/>
        <w:t>, so updates are edits to one file.</w:t>
      </w:r>
    </w:p>
    <w:p>
      <w:pPr>
        <w:pStyle w:val="Normal"/>
        <w:spacing w:lineRule="exact" w:line="276" w:before="0" w:after="140"/>
        <w:rPr/>
      </w:pPr>
      <w:r>
        <w:rPr/>
        <w:t>Once the radius and the overrides are confirmed, this note will be updated to version 1.1 with the locked values.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620" w:top="1300" w:footer="560" w:bottom="1200"/>
      <w:pgNumType w:fmt="decimal"/>
      <w:formProt w:val="false"/>
      <w:titlePg/>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40" w:after="0"/>
      <w:rPr/>
    </w:pPr>
    <w:r>
      <w:rPr>
        <w:color w:val="6B7280"/>
        <w:sz w:val="16"/>
        <w:szCs w:val="16"/>
      </w:rPr>
      <w:t>20 July 2026</w:t>
    </w:r>
    <w:r>
      <w:rPr/>
      <w:tab/>
    </w:r>
    <w:r>
      <w:rPr>
        <w:color w:val="6B7280"/>
        <w:sz w:val="16"/>
        <w:szCs w:val="16"/>
      </w:rPr>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40" w:after="0"/>
      <w:rPr/>
    </w:pPr>
    <w:r>
      <w:rPr>
        <w:color w:val="6B7280"/>
        <w:sz w:val="16"/>
        <w:szCs w:val="16"/>
      </w:rPr>
      <w:t>20 July 2026</w:t>
    </w:r>
    <w:r>
      <w:rPr/>
      <w:tab/>
    </w:r>
    <w:r>
      <w:rPr>
        <w:color w:val="6B7280"/>
        <w:sz w:val="16"/>
        <w:szCs w:val="16"/>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5DCE4"/>
      </w:pBdr>
      <w:tabs>
        <w:tab w:val="clear" w:pos="720"/>
        <w:tab w:val="right" w:pos="9360" w:leader="none"/>
      </w:tabs>
      <w:spacing w:before="0" w:after="0"/>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val="14316B"/>
      </w:rPr>
    </w:pPr>
    <w:r>
      <w:rPr>
        <w:color w:val="14316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6" w:hanging="230"/>
      </w:pPr>
      <w:rPr>
        <w:rFonts w:ascii="Symbol" w:hAnsi="Symbol" w:cs="Symbol" w:hint="default"/>
        <w:color w:val="2E5B8F"/>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00" w:hanging="500"/>
      </w:pPr>
      <w:rPr>
        <w:b/>
        <w:bCs/>
        <w:color w:val="1F386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446" w:hanging="230"/>
      </w:pPr>
      <w:rPr>
        <w:rFonts w:ascii="Symbol" w:hAnsi="Symbol" w:cs="Symbol" w:hint="default"/>
        <w:color w:val="2E5B8F"/>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00" w:hanging="500"/>
      </w:pPr>
      <w:rPr>
        <w:b/>
        <w:bCs/>
        <w:color w:val="1F386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4"/>
    <w:lvlOverride w:ilvl="0">
      <w:startOverride w:val="1"/>
    </w:lvlOverride>
  </w:num>
  <w:num w:numId="13">
    <w:abstractNumId w:val="4"/>
  </w:num>
  <w:num w:numId="14">
    <w:abstractNumId w:val="4"/>
  </w:num>
  <w:num w:numId="15">
    <w:abstractNumId w:val="4"/>
  </w:num>
  <w:num w:numId="16">
    <w:abstractNumId w:val="4"/>
  </w:num>
  <w:num w:numId="17">
    <w:abstractNumId w:val="3"/>
  </w:num>
  <w:num w:numId="18">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2B2B"/>
        <w:sz w:val="21"/>
        <w:szCs w:val="21"/>
        <w:lang w:val="en-IN" w:eastAsia="zh-CN" w:bidi="hi-IN"/>
      </w:rPr>
    </w:rPrDefault>
    <w:pPrDefault>
      <w:pPr>
        <w:suppressAutoHyphens w:val="true"/>
      </w:pPr>
    </w:pPrDefault>
  </w:docDefaults>
  <w:style w:type="paragraph" w:styleId="Normal">
    <w:name w:val="Normal"/>
    <w:qFormat/>
    <w:pPr>
      <w:widowControl/>
      <w:suppressAutoHyphens w:val="true"/>
      <w:bidi w:val="0"/>
      <w:spacing w:lineRule="exact" w:line="276" w:before="0" w:after="0"/>
      <w:jc w:val="left"/>
    </w:pPr>
    <w:rPr>
      <w:rFonts w:ascii="Calibri" w:hAnsi="Calibri" w:eastAsia="Calibri" w:cs="Calibri"/>
      <w:color w:val="2B2B2B"/>
      <w:kern w:val="0"/>
      <w:sz w:val="21"/>
      <w:szCs w:val="21"/>
      <w:lang w:val="en-IN" w:eastAsia="zh-CN" w:bidi="hi-IN"/>
    </w:rPr>
  </w:style>
  <w:style w:type="paragraph" w:styleId="Heading1">
    <w:name w:val="Heading 1"/>
    <w:basedOn w:val="Heading"/>
    <w:qFormat/>
    <w:pPr>
      <w:keepNext w:val="true"/>
      <w:pBdr>
        <w:bottom w:val="single" w:sz="6" w:space="4" w:color="D5DCE4"/>
      </w:pBdr>
      <w:spacing w:before="340" w:after="150"/>
    </w:pPr>
    <w:rPr>
      <w:rFonts w:ascii="Calibri" w:hAnsi="Calibri" w:eastAsia="Calibri" w:cs="Calibri"/>
      <w:b/>
      <w:bCs/>
      <w:color w:val="1F3864"/>
      <w:sz w:val="28"/>
      <w:szCs w:val="28"/>
    </w:rPr>
  </w:style>
  <w:style w:type="paragraph" w:styleId="Heading2">
    <w:name w:val="Heading 2"/>
    <w:basedOn w:val="Heading"/>
    <w:qFormat/>
    <w:pPr>
      <w:keepNext w:val="true"/>
      <w:spacing w:before="240" w:after="100"/>
    </w:pPr>
    <w:rPr>
      <w:rFonts w:ascii="Calibri" w:hAnsi="Calibri" w:eastAsia="Calibri" w:cs="Calibri"/>
      <w:b/>
      <w:bCs/>
      <w:color w:val="2E5B8F"/>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276" w:before="0" w:after="0"/>
      <w:jc w:val="left"/>
    </w:pPr>
    <w:rPr>
      <w:rFonts w:ascii="Calibri" w:hAnsi="Calibri" w:eastAsia="Calibri" w:cs="Calibri"/>
      <w:b/>
      <w:bCs/>
      <w:color w:val="2B2B2B"/>
      <w:kern w:val="0"/>
      <w:sz w:val="21"/>
      <w:szCs w:val="21"/>
      <w:lang w:val="en-IN" w:eastAsia="zh-CN" w:bidi="hi-IN"/>
    </w:rPr>
  </w:style>
  <w:style w:type="paragraph" w:styleId="ListParagraph">
    <w:name w:val="List Paragraph"/>
    <w:qFormat/>
    <w:pPr>
      <w:widowControl/>
      <w:suppressAutoHyphens w:val="true"/>
      <w:bidi w:val="0"/>
      <w:spacing w:lineRule="exact" w:line="276" w:before="0" w:after="0"/>
      <w:jc w:val="left"/>
    </w:pPr>
    <w:rPr>
      <w:rFonts w:ascii="Calibri" w:hAnsi="Calibri" w:eastAsia="Calibri" w:cs="Calibri"/>
      <w:color w:val="2B2B2B"/>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Pages>
  <Words>896</Words>
  <Characters>5194</Characters>
  <CharactersWithSpaces>6060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2026-07-20T07:13:38Z</dcterms:created>
  <dc:creator>Un-named</dc:creator>
  <dc:description/>
  <dc:language>en-IN</dc:language>
  <cp:lastModifiedBy/>
  <dcterms:modified xsi:type="dcterms:W3CDTF">2026-07-20T12:50:58Z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