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E4" w:rsidRDefault="005C2CE4">
      <w:bookmarkStart w:id="0" w:name="_GoBack"/>
      <w:bookmarkEnd w:id="0"/>
      <w:r>
        <w:t xml:space="preserve">b2) </w:t>
      </w:r>
    </w:p>
    <w:p w:rsidR="005C2CE4" w:rsidRDefault="005C2CE4">
      <w:r>
        <w:t>Based on the DOE (see part b3) performed, we have chosen an initial design which consists of a promising architecture (low mass, high science value) and baseline technology parameters. Architecture 1400 has operating base location</w:t>
      </w:r>
      <w:r w:rsidRPr="005C2CE4">
        <w:t xml:space="preserve"> at </w:t>
      </w:r>
      <w:proofErr w:type="spellStart"/>
      <w:r w:rsidRPr="005C2CE4">
        <w:t>Amazonis</w:t>
      </w:r>
      <w:proofErr w:type="spellEnd"/>
      <w:r w:rsidRPr="005C2CE4">
        <w:t xml:space="preserve"> with </w:t>
      </w:r>
      <w:r>
        <w:t>photovoltaic power generation and</w:t>
      </w:r>
      <w:r w:rsidRPr="005C2CE4">
        <w:t xml:space="preserve"> 25% </w:t>
      </w:r>
      <w:r>
        <w:t xml:space="preserve">of </w:t>
      </w:r>
      <w:r w:rsidRPr="005C2CE4">
        <w:t>food grown</w:t>
      </w:r>
      <w:r>
        <w:t xml:space="preserve"> in-situ. </w:t>
      </w:r>
    </w:p>
    <w:p w:rsidR="005C2CE4" w:rsidRDefault="006546CD" w:rsidP="005C2CE4">
      <w:pPr>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465</m:t>
                  </m:r>
                </m:e>
              </m:mr>
              <m:mr>
                <m:e>
                  <m:r>
                    <w:rPr>
                      <w:rFonts w:ascii="Cambria Math" w:hAnsi="Cambria Math"/>
                    </w:rPr>
                    <m:t>950</m:t>
                  </m:r>
                </m:e>
              </m:mr>
              <m:m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1400</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4</m:t>
                              </m:r>
                            </m:e>
                          </m:mr>
                        </m:m>
                      </m:e>
                    </m:mr>
                  </m:m>
                </m:e>
              </m:mr>
            </m:m>
          </m:e>
        </m:d>
      </m:oMath>
      <w:r w:rsidR="005C2CE4">
        <w:br w:type="page"/>
      </w:r>
    </w:p>
    <w:p w:rsidR="00F75296" w:rsidRDefault="000105AD">
      <w:r>
        <w:lastRenderedPageBreak/>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w:t>
      </w:r>
      <w:r w:rsidR="00AA07BB" w:rsidRPr="00DF1C3F">
        <w:rPr>
          <w:u w:val="single"/>
        </w:rPr>
        <w:t>The research justification for these levels may be found in the appendix</w:t>
      </w:r>
      <w:r w:rsidR="000326AC" w:rsidRPr="00DF1C3F">
        <w:rPr>
          <w:u w:val="single"/>
        </w:rPr>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w:t>
      </w:r>
      <w:r w:rsidR="00DF1C3F">
        <w:t>1</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rPr>
                            <m:t>0.5, 1.0, 2.0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 xml:space="preserve">The resulting design space contains </w:t>
      </w:r>
      <w:r w:rsidR="00DF1C3F">
        <w:t>3,421,764</w:t>
      </w:r>
      <w:r w:rsidR="005C2CE4">
        <w:t xml:space="preserve"> </w:t>
      </w:r>
      <w:r>
        <w:t xml:space="preserve">points.  Each execution of the </w:t>
      </w:r>
      <w:r w:rsidR="00AA07BB">
        <w:t xml:space="preserve">model requires roughly </w:t>
      </w:r>
      <w:r w:rsidR="00E41350">
        <w:t>one</w:t>
      </w:r>
      <w:r w:rsidR="00AA07BB">
        <w:t xml:space="preserve"> second to </w:t>
      </w:r>
      <w:r w:rsidR="00E41350">
        <w:t>complete</w:t>
      </w:r>
      <w:r w:rsidR="00AA07BB">
        <w:t xml:space="preserve">. Therefore, evaluating the entire design space would require </w:t>
      </w:r>
      <w:r w:rsidR="00DF1C3F">
        <w:t>951</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w:t>
      </w:r>
      <w:r w:rsidR="00DF1C3F">
        <w:t>1</w:t>
      </w:r>
      <w:r w:rsidR="000326AC">
        <w:t xml:space="preserve">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DA55A"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6546CD">
        <w:rPr>
          <w:b w:val="0"/>
          <w:noProof/>
          <w:color w:val="auto"/>
          <w:sz w:val="22"/>
        </w:rPr>
        <w:t>1</w:t>
      </w:r>
      <w:r w:rsidRPr="00473B4F">
        <w:rPr>
          <w:b w:val="0"/>
          <w:color w:val="auto"/>
          <w:sz w:val="22"/>
        </w:rPr>
        <w:fldChar w:fldCharType="end"/>
      </w:r>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indicating architectures that are efficient in terms of these two objective functions, being most efficient in the direction of the golden arrow.</w:t>
      </w:r>
    </w:p>
    <w:p w:rsidR="00473B4F" w:rsidRDefault="00DF1C3F"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0E253C71" wp14:editId="458C805C">
                <wp:simplePos x="0" y="0"/>
                <wp:positionH relativeFrom="column">
                  <wp:posOffset>5660887</wp:posOffset>
                </wp:positionH>
                <wp:positionV relativeFrom="paragraph">
                  <wp:posOffset>2364574</wp:posOffset>
                </wp:positionV>
                <wp:extent cx="361950"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0"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67271" id="Straight Arrow Connector 45" o:spid="_x0000_s1026" type="#_x0000_t32" style="position:absolute;margin-left:445.75pt;margin-top:186.2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" strokecolor="#f79646 [3209]" strokeweight="3pt">
                <v:stroke endarrow="block"/>
                <v:shadow on="t" color="black" opacity="22937f" origin=",.5" offset="0,.63889mm"/>
              </v:shape>
            </w:pict>
          </mc:Fallback>
        </mc:AlternateContent>
      </w:r>
      <w:r w:rsidRPr="00473B4F">
        <w:rPr>
          <w:noProof/>
        </w:rPr>
        <w:drawing>
          <wp:inline distT="0" distB="0" distL="0" distR="0" wp14:anchorId="79E2672D" wp14:editId="7D9D146B">
            <wp:extent cx="6249725" cy="301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244" t="3967" r="8745" b="241"/>
                    <a:stretch/>
                  </pic:blipFill>
                  <pic:spPr bwMode="auto">
                    <a:xfrm>
                      <a:off x="0" y="0"/>
                      <a:ext cx="6260978" cy="301897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6546CD">
        <w:rPr>
          <w:b w:val="0"/>
          <w:noProof/>
          <w:color w:val="auto"/>
          <w:sz w:val="22"/>
        </w:rPr>
        <w:t>2</w:t>
      </w:r>
      <w:r w:rsidRPr="00473B4F">
        <w:rPr>
          <w:b w:val="0"/>
          <w:color w:val="auto"/>
          <w:sz w:val="22"/>
        </w:rPr>
        <w:fldChar w:fldCharType="end"/>
      </w:r>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006546CD">
        <w:rPr>
          <w:b w:val="0"/>
          <w:noProof/>
          <w:color w:val="auto"/>
          <w:sz w:val="22"/>
        </w:rPr>
        <w:t>3</w:t>
      </w:r>
      <w:r w:rsidRPr="00B9416F">
        <w:rPr>
          <w:b w:val="0"/>
          <w:color w:val="auto"/>
          <w:sz w:val="22"/>
        </w:rPr>
        <w:fldChar w:fldCharType="end"/>
      </w:r>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804779">
        <w:t xml:space="preserve">and </w:t>
      </w:r>
      <w:proofErr w:type="spellStart"/>
      <w:r w:rsidRPr="00804779">
        <w:t>ε</w:t>
      </w:r>
      <w:r w:rsidRPr="00804779">
        <w:rPr>
          <w:vertAlign w:val="subscript"/>
        </w:rPr>
        <w:t>ISRU</w:t>
      </w:r>
      <w:proofErr w:type="spellEnd"/>
      <w:r w:rsidR="00804779" w:rsidRPr="00804779">
        <w:t xml:space="preserve"> = 1</w:t>
      </w:r>
      <w:r w:rsidR="00C941A6">
        <w:t>.</w:t>
      </w:r>
      <w:r w:rsidR="00804779" w:rsidRPr="00804779">
        <w:t>0</w:t>
      </w:r>
      <w:r w:rsidRPr="00804779">
        <w:t>.</w:t>
      </w: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6C1A61">
      <w:pPr>
        <w:jc w:val="both"/>
        <w:rPr>
          <w:b/>
          <w:sz w:val="32"/>
          <w:u w:val="single"/>
        </w:rPr>
      </w:pPr>
      <w:r w:rsidRPr="006C1A61">
        <w:rPr>
          <w:b/>
          <w:sz w:val="32"/>
          <w:u w:val="single"/>
        </w:rPr>
        <w:lastRenderedPageBreak/>
        <w:t>Appendix</w:t>
      </w:r>
    </w:p>
    <w:p w:rsidR="00DF1C3F" w:rsidRPr="00DF1C3F" w:rsidRDefault="00DF1C3F" w:rsidP="006C1A61">
      <w:pPr>
        <w:jc w:val="both"/>
        <w:rPr>
          <w:b/>
          <w:sz w:val="24"/>
        </w:rPr>
      </w:pPr>
      <w:r>
        <w:rPr>
          <w:b/>
          <w:sz w:val="24"/>
        </w:rPr>
        <w:t>Proposed Cost Model</w:t>
      </w:r>
    </w:p>
    <w:p w:rsidR="00DF1C3F" w:rsidRDefault="00DF1C3F" w:rsidP="006C1A61">
      <w:pPr>
        <w:jc w:val="both"/>
      </w:pPr>
      <w:r>
        <w:t xml:space="preserve">Effective cost modelling is a very difficult topic often involving a great degree of uncertainty, </w:t>
      </w:r>
      <w:proofErr w:type="spellStart"/>
      <w:r>
        <w:t>particulary</w:t>
      </w:r>
      <w:proofErr w:type="spellEnd"/>
      <w:r>
        <w:t xml:space="preserve"> in areas involving “reach” technological developments and long developmental timeframes. As such, the effective prediction of development costs for the technology investments considered through this research optimization question will be a significant focus of our team moving forward. At this time we propose to develop an “expense attribute” that captures the various costs associated with the maturation of a technology, including raw cost, political will costs, schedule/time costs, and perhaps infrastructure costs. For example, from our initial research our team anticipates that nuclear propulsion will be a very expensive technology to mature as the support infrastructure currently does not exist in the US, there are few research groups working on the technology, and there is a societal and political stigma associated with nuclear activities. </w:t>
      </w:r>
    </w:p>
    <w:p w:rsidR="00DF1C3F" w:rsidRPr="00DF1C3F" w:rsidRDefault="00DF1C3F" w:rsidP="006C1A61">
      <w:pPr>
        <w:jc w:val="both"/>
      </w:pPr>
      <w:r>
        <w:t xml:space="preserve">The remainder of this appendix provides our teams initial reviews of the costing factors relevant for each technological development program dependent variable. At this time the relative TRL level for each technology level has been provided as well as development costs that could be found. A </w:t>
      </w:r>
      <w:r>
        <w:rPr>
          <w:u w:val="single"/>
        </w:rPr>
        <w:t>notional</w:t>
      </w:r>
      <w:r>
        <w:t xml:space="preserve"> expense attribute curve has been provided for each technology outlining the cost trend we expect to see based upon our initial research. Please note that the expense attributes are not baselined at this time, and an expense attribute of zero for LH</w:t>
      </w:r>
      <w:r>
        <w:rPr>
          <w:vertAlign w:val="subscript"/>
        </w:rPr>
        <w:t>2</w:t>
      </w:r>
      <w:r>
        <w:t xml:space="preserve"> likely corresponds to significantly less cost than an expense attribute of zero for nuclear propulsion, for example.  Our team will further refine and coordinate the expense attributes moving forward. </w:t>
      </w: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6C1A61" w:rsidRPr="00BC4BCC" w:rsidRDefault="006C1A61" w:rsidP="006C1A61">
      <w:pPr>
        <w:pStyle w:val="NoSpacing"/>
        <w:rPr>
          <w:b/>
          <w:i/>
          <w:sz w:val="24"/>
        </w:rPr>
      </w:pPr>
      <w:r w:rsidRPr="00BC4BCC">
        <w:rPr>
          <w:b/>
          <w:i/>
          <w:sz w:val="24"/>
        </w:rPr>
        <w:lastRenderedPageBreak/>
        <w:t>Liquid Hydrogen/Oxygen (LH</w:t>
      </w:r>
      <w:r w:rsidRPr="00BC4BCC">
        <w:rPr>
          <w:b/>
          <w:i/>
          <w:sz w:val="24"/>
          <w:vertAlign w:val="subscript"/>
        </w:rPr>
        <w:t>2</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5B171B">
      <w:pPr>
        <w:pStyle w:val="NoSpacing"/>
        <w:jc w:val="both"/>
      </w:pPr>
      <w:r>
        <w:t xml:space="preserve">Numerous engines have operational TRL-9 capabilities of very high thrust up to </w:t>
      </w:r>
      <w:proofErr w:type="spellStart"/>
      <w:proofErr w:type="gramStart"/>
      <w:r>
        <w:t>Isp</w:t>
      </w:r>
      <w:proofErr w:type="spellEnd"/>
      <w:proofErr w:type="gramEnd"/>
      <w:r>
        <w:t xml:space="preserve"> = 452 seconds, and moderate thrust up to 465 seconds.  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DF1C3F" w:rsidRDefault="00DF1C3F" w:rsidP="000326AC">
      <w:pPr>
        <w:ind w:firstLine="360"/>
        <w:jc w:val="both"/>
      </w:pPr>
    </w:p>
    <w:p w:rsidR="006C1A61" w:rsidRDefault="006C1A61" w:rsidP="000326AC">
      <w:pPr>
        <w:ind w:firstLine="360"/>
        <w:jc w:val="both"/>
      </w:pPr>
    </w:p>
    <w:p w:rsidR="006C1A61" w:rsidRPr="00BC4BCC" w:rsidRDefault="006C1A61" w:rsidP="005B171B">
      <w:pPr>
        <w:pStyle w:val="NoSpacing"/>
        <w:jc w:val="both"/>
        <w:rPr>
          <w:b/>
          <w:i/>
          <w:sz w:val="24"/>
        </w:rPr>
      </w:pPr>
      <w:r w:rsidRPr="00BC4BCC">
        <w:rPr>
          <w:b/>
          <w:i/>
          <w:sz w:val="24"/>
        </w:rPr>
        <w:lastRenderedPageBreak/>
        <w:t>Nuclear Thermal Rocket (NTR)</w:t>
      </w:r>
      <w:r w:rsidR="00BC4BCC">
        <w:rPr>
          <w:b/>
          <w:i/>
          <w:sz w:val="24"/>
        </w:rPr>
        <w:t xml:space="preserve"> Review</w:t>
      </w:r>
    </w:p>
    <w:p w:rsidR="006C1A61" w:rsidRDefault="006C1A61" w:rsidP="005B171B">
      <w:pPr>
        <w:pStyle w:val="NoSpacing"/>
        <w:numPr>
          <w:ilvl w:val="0"/>
          <w:numId w:val="2"/>
        </w:numPr>
        <w:jc w:val="both"/>
      </w:pPr>
      <w:r>
        <w:t xml:space="preserve">Capable of providing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LH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5B171B">
      <w:pPr>
        <w:pStyle w:val="NoSpacing"/>
        <w:numPr>
          <w:ilvl w:val="0"/>
          <w:numId w:val="2"/>
        </w:numPr>
        <w:jc w:val="both"/>
      </w:pPr>
      <w:r>
        <w:t>Listed as TRL-4 from NASA programs in the 60’s and 70’s where a prototype flight design was conducted. However, facing new technologies, fuel forms, and materials has reduced the TRL to Level 3.</w:t>
      </w:r>
    </w:p>
    <w:p w:rsidR="006C1A61" w:rsidRDefault="006C1A61" w:rsidP="005B171B">
      <w:pPr>
        <w:pStyle w:val="NoSpacing"/>
        <w:numPr>
          <w:ilvl w:val="0"/>
          <w:numId w:val="2"/>
        </w:numPr>
        <w:jc w:val="both"/>
      </w:pPr>
      <w:r>
        <w:t>The NASA Rover/NERVA program that ran from 1995-1973 developed 20 rocket reactors and achieved TRL-4 with a cost ~$10billion 1992 dollars (</w:t>
      </w:r>
      <w:hyperlink r:id="rId9" w:history="1">
        <w:r w:rsidRPr="00E15380">
          <w:rPr>
            <w:rStyle w:val="Hyperlink"/>
          </w:rPr>
          <w:t>http://trajectory.grc.nasa.gov/aboutus/papers/AIAA-93-4170.pdf</w:t>
        </w:r>
      </w:hyperlink>
      <w:r>
        <w:t xml:space="preserve">) </w:t>
      </w:r>
    </w:p>
    <w:p w:rsidR="006C1A61" w:rsidRDefault="006C1A61" w:rsidP="005B171B">
      <w:pPr>
        <w:pStyle w:val="NoSpacing"/>
        <w:numPr>
          <w:ilvl w:val="0"/>
          <w:numId w:val="2"/>
        </w:numPr>
        <w:jc w:val="both"/>
      </w:pPr>
      <w:r>
        <w:t>The Russians also began and have kept going with NTR work, including extensive test facilities</w:t>
      </w:r>
    </w:p>
    <w:p w:rsidR="006C1A61" w:rsidRDefault="006C1A61" w:rsidP="006C1A61">
      <w:pPr>
        <w:pStyle w:val="NoSpacing"/>
      </w:pPr>
    </w:p>
    <w:p w:rsidR="006C1A61" w:rsidRPr="00BC4BCC" w:rsidRDefault="006C1A61" w:rsidP="005B171B">
      <w:pPr>
        <w:pStyle w:val="NoSpacing"/>
        <w:jc w:val="both"/>
        <w:rPr>
          <w:u w:val="single"/>
        </w:rPr>
      </w:pPr>
      <w:r w:rsidRPr="00BC4BCC">
        <w:rPr>
          <w:u w:val="single"/>
        </w:rPr>
        <w:t>Proposed Development Cost Curve</w:t>
      </w:r>
    </w:p>
    <w:p w:rsidR="006C1A61" w:rsidRDefault="006C1A61" w:rsidP="005B171B">
      <w:pPr>
        <w:pStyle w:val="NoSpacing"/>
        <w:jc w:val="both"/>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5B171B">
      <w:pPr>
        <w:pStyle w:val="NoSpacing"/>
        <w:numPr>
          <w:ilvl w:val="0"/>
          <w:numId w:val="2"/>
        </w:numPr>
        <w:jc w:val="both"/>
      </w:pPr>
      <w:proofErr w:type="spellStart"/>
      <w:r>
        <w:t>Isp</w:t>
      </w:r>
      <w:proofErr w:type="spellEnd"/>
      <w:r>
        <w:t xml:space="preserve"> = 850 was displayed at TRL-4 with old technology </w:t>
      </w:r>
      <w:r>
        <w:sym w:font="Wingdings" w:char="F0E0"/>
      </w:r>
      <w:r>
        <w:t xml:space="preserve"> High Cost</w:t>
      </w:r>
    </w:p>
    <w:p w:rsidR="006C1A61" w:rsidRDefault="006C1A61" w:rsidP="005B171B">
      <w:pPr>
        <w:pStyle w:val="NoSpacing"/>
        <w:numPr>
          <w:ilvl w:val="0"/>
          <w:numId w:val="2"/>
        </w:numPr>
        <w:jc w:val="both"/>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5B171B">
      <w:pPr>
        <w:pStyle w:val="NoSpacing"/>
        <w:numPr>
          <w:ilvl w:val="0"/>
          <w:numId w:val="2"/>
        </w:numPr>
        <w:jc w:val="both"/>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5B171B">
      <w:pPr>
        <w:pStyle w:val="NoSpacing"/>
        <w:numPr>
          <w:ilvl w:val="0"/>
          <w:numId w:val="2"/>
        </w:numPr>
        <w:jc w:val="both"/>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5B171B">
      <w:pPr>
        <w:pStyle w:val="NoSpacing"/>
        <w:numPr>
          <w:ilvl w:val="0"/>
          <w:numId w:val="2"/>
        </w:numPr>
        <w:jc w:val="both"/>
      </w:pPr>
      <w:r>
        <w:t>ISP 1500 – 2000 (even up to 5000) could be possible in the far future with  a gas core reactor (</w:t>
      </w:r>
      <w:hyperlink r:id="rId10"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5B171B">
      <w:pPr>
        <w:pStyle w:val="NoSpacing"/>
        <w:numPr>
          <w:ilvl w:val="0"/>
          <w:numId w:val="2"/>
        </w:numPr>
        <w:jc w:val="both"/>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5B171B">
      <w:pPr>
        <w:pStyle w:val="NoSpacing"/>
        <w:numPr>
          <w:ilvl w:val="0"/>
          <w:numId w:val="2"/>
        </w:numPr>
        <w:jc w:val="both"/>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5B171B">
      <w:pPr>
        <w:pStyle w:val="NoSpacing"/>
        <w:jc w:val="both"/>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89487E" w:rsidRDefault="0089487E">
      <w:pPr>
        <w:rPr>
          <w:b/>
          <w:i/>
          <w:sz w:val="24"/>
        </w:rPr>
      </w:pPr>
      <w:r>
        <w:rPr>
          <w:b/>
          <w:i/>
          <w:sz w:val="24"/>
        </w:rPr>
        <w:br w:type="page"/>
      </w:r>
    </w:p>
    <w:p w:rsidR="0089487E" w:rsidRPr="0089487E" w:rsidRDefault="0089487E" w:rsidP="0089487E">
      <w:pPr>
        <w:pStyle w:val="NoSpacing"/>
        <w:rPr>
          <w:b/>
          <w:i/>
          <w:sz w:val="24"/>
        </w:rPr>
      </w:pPr>
      <w:r w:rsidRPr="0089487E">
        <w:rPr>
          <w:b/>
          <w:i/>
          <w:sz w:val="24"/>
        </w:rPr>
        <w:lastRenderedPageBreak/>
        <w:t>Lunar ISRU Efficiency Reviews</w:t>
      </w:r>
    </w:p>
    <w:p w:rsidR="0089487E" w:rsidRDefault="0089487E" w:rsidP="0089487E">
      <w:pPr>
        <w:pStyle w:val="NoSpacing"/>
      </w:pPr>
    </w:p>
    <w:p w:rsidR="0089487E" w:rsidRDefault="0089487E" w:rsidP="0089487E">
      <w:pPr>
        <w:pStyle w:val="NoSpacing"/>
        <w:numPr>
          <w:ilvl w:val="0"/>
          <w:numId w:val="2"/>
        </w:numPr>
      </w:pPr>
      <w:r>
        <w:t xml:space="preserve">Lunar ISRU sizing current accomplished in </w:t>
      </w:r>
      <w:proofErr w:type="spellStart"/>
      <w:r>
        <w:t>Lunar_ISRU.m</w:t>
      </w:r>
      <w:proofErr w:type="spellEnd"/>
      <w:r>
        <w:t xml:space="preserve"> function.</w:t>
      </w:r>
    </w:p>
    <w:p w:rsidR="0089487E" w:rsidRPr="0066397B" w:rsidRDefault="0089487E" w:rsidP="0089487E">
      <w:pPr>
        <w:pStyle w:val="NoSpacing"/>
        <w:ind w:left="720"/>
        <w:rPr>
          <w:sz w:val="18"/>
        </w:rPr>
      </w:pPr>
    </w:p>
    <w:p w:rsidR="0089487E" w:rsidRPr="0066397B" w:rsidRDefault="0089487E" w:rsidP="0089487E">
      <w:pPr>
        <w:autoSpaceDE w:val="0"/>
        <w:autoSpaceDN w:val="0"/>
        <w:adjustRightInd w:val="0"/>
        <w:spacing w:after="0" w:line="240" w:lineRule="auto"/>
        <w:rPr>
          <w:rFonts w:ascii="Courier New" w:hAnsi="Courier New" w:cs="Courier New"/>
          <w:sz w:val="20"/>
          <w:szCs w:val="24"/>
        </w:rPr>
      </w:pPr>
      <w:proofErr w:type="spellStart"/>
      <w:r w:rsidRPr="0066397B">
        <w:rPr>
          <w:rFonts w:ascii="Courier New" w:hAnsi="Courier New" w:cs="Courier New"/>
          <w:color w:val="000000"/>
          <w:sz w:val="20"/>
          <w:szCs w:val="24"/>
        </w:rPr>
        <w:t>Results.Lunar_ISRU.Mass</w:t>
      </w:r>
      <w:proofErr w:type="spellEnd"/>
      <w:r w:rsidRPr="0066397B">
        <w:rPr>
          <w:rFonts w:ascii="Courier New" w:hAnsi="Courier New" w:cs="Courier New"/>
          <w:color w:val="000000"/>
          <w:sz w:val="20"/>
          <w:szCs w:val="24"/>
        </w:rPr>
        <w:t xml:space="preserve"> = (6.50 * O2_Per_Month) + 11800; </w:t>
      </w:r>
      <w:r w:rsidRPr="0066397B">
        <w:rPr>
          <w:rFonts w:ascii="Courier New" w:hAnsi="Courier New" w:cs="Courier New"/>
          <w:color w:val="228B22"/>
          <w:sz w:val="20"/>
          <w:szCs w:val="24"/>
        </w:rPr>
        <w:t>%kg</w:t>
      </w:r>
    </w:p>
    <w:p w:rsidR="0089487E" w:rsidRPr="0066397B" w:rsidRDefault="0089487E" w:rsidP="0089487E">
      <w:pPr>
        <w:autoSpaceDE w:val="0"/>
        <w:autoSpaceDN w:val="0"/>
        <w:adjustRightInd w:val="0"/>
        <w:spacing w:after="0" w:line="240" w:lineRule="auto"/>
        <w:rPr>
          <w:rFonts w:ascii="Courier New" w:hAnsi="Courier New" w:cs="Courier New"/>
          <w:color w:val="228B22"/>
          <w:sz w:val="20"/>
          <w:szCs w:val="24"/>
        </w:rPr>
      </w:pPr>
      <w:proofErr w:type="spellStart"/>
      <w:r w:rsidRPr="0066397B">
        <w:rPr>
          <w:rFonts w:ascii="Courier New" w:hAnsi="Courier New" w:cs="Courier New"/>
          <w:color w:val="000000"/>
          <w:sz w:val="20"/>
          <w:szCs w:val="24"/>
        </w:rPr>
        <w:t>Results.Lunar_ISRU.Power</w:t>
      </w:r>
      <w:proofErr w:type="spellEnd"/>
      <w:r w:rsidRPr="0066397B">
        <w:rPr>
          <w:rFonts w:ascii="Courier New" w:hAnsi="Courier New" w:cs="Courier New"/>
          <w:color w:val="000000"/>
          <w:sz w:val="20"/>
          <w:szCs w:val="24"/>
        </w:rPr>
        <w:t xml:space="preserve"> = (58.2 * (O2_Per_Month/1000)) + 30.8; </w:t>
      </w:r>
      <w:r w:rsidRPr="0066397B">
        <w:rPr>
          <w:rFonts w:ascii="Courier New" w:hAnsi="Courier New" w:cs="Courier New"/>
          <w:color w:val="228B22"/>
          <w:sz w:val="20"/>
          <w:szCs w:val="24"/>
        </w:rPr>
        <w:t>%kW</w:t>
      </w:r>
    </w:p>
    <w:p w:rsidR="0089487E" w:rsidRDefault="0089487E" w:rsidP="0089487E">
      <w:pPr>
        <w:pStyle w:val="NoSpacing"/>
      </w:pPr>
    </w:p>
    <w:p w:rsidR="0089487E" w:rsidRDefault="0089487E" w:rsidP="0089487E">
      <w:pPr>
        <w:pStyle w:val="NoSpacing"/>
      </w:pPr>
      <w:r>
        <w:t>This is equivalent to 78 * O2_Per_Year + 11800 kg. We can adjust this sizing to account for potential technology developments in the future.</w:t>
      </w:r>
    </w:p>
    <w:p w:rsidR="0089487E" w:rsidRDefault="0089487E" w:rsidP="0089487E">
      <w:pPr>
        <w:pStyle w:val="NoSpacing"/>
      </w:pPr>
    </w:p>
    <w:p w:rsidR="0089487E" w:rsidRPr="0028751F" w:rsidRDefault="0089487E" w:rsidP="0089487E">
      <w:pPr>
        <w:pStyle w:val="NoSpacing"/>
      </w:pPr>
      <w:r>
        <w:t xml:space="preserve">“Human Exploration Destination Systems” is NASA Technology Area (TA) 7.1 and has a dedicated technology development roadmap covering 2015 – 2035. </w:t>
      </w:r>
    </w:p>
    <w:p w:rsidR="0089487E" w:rsidRDefault="0089487E" w:rsidP="0089487E">
      <w:pPr>
        <w:pStyle w:val="NoSpacing"/>
        <w:rPr>
          <w:u w:val="single"/>
        </w:rPr>
      </w:pPr>
    </w:p>
    <w:p w:rsidR="0089487E" w:rsidRPr="0089487E" w:rsidRDefault="0089487E" w:rsidP="0089487E">
      <w:pPr>
        <w:pStyle w:val="NoSpacing"/>
      </w:pPr>
      <w:r w:rsidRPr="0089487E">
        <w:t>Current Capabilities</w:t>
      </w:r>
    </w:p>
    <w:p w:rsidR="0089487E" w:rsidRDefault="0089487E" w:rsidP="0089487E">
      <w:pPr>
        <w:pStyle w:val="NoSpacing"/>
        <w:numPr>
          <w:ilvl w:val="0"/>
          <w:numId w:val="3"/>
        </w:numPr>
      </w:pPr>
      <w:r>
        <w:t>TRL levels for subsystems required to accomplish lunar ISRU for propellant production are approximately 2 as of 2011.</w:t>
      </w:r>
    </w:p>
    <w:p w:rsidR="0089487E" w:rsidRDefault="0089487E" w:rsidP="0089487E">
      <w:pPr>
        <w:pStyle w:val="NoSpacing"/>
        <w:jc w:val="center"/>
      </w:pPr>
      <w:r>
        <w:rPr>
          <w:noProof/>
        </w:rPr>
        <w:drawing>
          <wp:inline distT="0" distB="0" distL="0" distR="0" wp14:anchorId="036AFB03" wp14:editId="3A2C465B">
            <wp:extent cx="4016827" cy="3526971"/>
            <wp:effectExtent l="0" t="0" r="317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030220" cy="3538730"/>
                    </a:xfrm>
                    <a:prstGeom prst="rect">
                      <a:avLst/>
                    </a:prstGeom>
                  </pic:spPr>
                </pic:pic>
              </a:graphicData>
            </a:graphic>
          </wp:inline>
        </w:drawing>
      </w:r>
    </w:p>
    <w:p w:rsidR="0089487E" w:rsidRPr="008244D6" w:rsidRDefault="0089487E" w:rsidP="0089487E">
      <w:pPr>
        <w:spacing w:after="0" w:line="240" w:lineRule="auto"/>
        <w:rPr>
          <w:rFonts w:ascii="Arial" w:eastAsia="Times New Roman" w:hAnsi="Arial" w:cs="Arial"/>
          <w:color w:val="222222"/>
          <w:sz w:val="16"/>
          <w:szCs w:val="16"/>
        </w:rPr>
      </w:pPr>
      <w:r w:rsidRPr="008244D6">
        <w:rPr>
          <w:rFonts w:ascii="Arial" w:eastAsia="Times New Roman" w:hAnsi="Arial" w:cs="Arial"/>
          <w:color w:val="222222"/>
          <w:sz w:val="16"/>
          <w:szCs w:val="16"/>
        </w:rPr>
        <w:t>Larson, William, Gerald Sanders, and Mark Hyatt. "ISRU–From Concept to Reality: NASA Accomplishments and Future Plans." </w:t>
      </w:r>
      <w:r w:rsidRPr="008244D6">
        <w:rPr>
          <w:rFonts w:ascii="Arial" w:eastAsia="Times New Roman" w:hAnsi="Arial" w:cs="Arial"/>
          <w:i/>
          <w:iCs/>
          <w:color w:val="222222"/>
          <w:sz w:val="16"/>
          <w:szCs w:val="16"/>
        </w:rPr>
        <w:t>AIA a space 2011 conference and exposition, Long Beach, California, AIAA</w:t>
      </w:r>
      <w:r w:rsidRPr="008244D6">
        <w:rPr>
          <w:rFonts w:ascii="Arial" w:eastAsia="Times New Roman" w:hAnsi="Arial" w:cs="Arial"/>
          <w:color w:val="222222"/>
          <w:sz w:val="16"/>
          <w:szCs w:val="16"/>
        </w:rPr>
        <w:t>. Vol. 7114. 2011.</w:t>
      </w:r>
    </w:p>
    <w:p w:rsidR="0089487E" w:rsidRDefault="0089487E" w:rsidP="0089487E">
      <w:pPr>
        <w:pStyle w:val="NoSpacing"/>
      </w:pPr>
    </w:p>
    <w:p w:rsidR="0089487E" w:rsidRDefault="0089487E" w:rsidP="0089487E">
      <w:pPr>
        <w:pStyle w:val="NoSpacing"/>
        <w:numPr>
          <w:ilvl w:val="0"/>
          <w:numId w:val="3"/>
        </w:numPr>
      </w:pPr>
      <w:r>
        <w:t xml:space="preserve">Total cost to develop technology for lunar ISRU is approximate $19 billion. </w:t>
      </w:r>
    </w:p>
    <w:p w:rsidR="0089487E" w:rsidRPr="008244D6" w:rsidRDefault="0089487E" w:rsidP="0089487E">
      <w:pPr>
        <w:pStyle w:val="NoSpacing"/>
        <w:numPr>
          <w:ilvl w:val="1"/>
          <w:numId w:val="3"/>
        </w:numPr>
      </w:pPr>
      <w:r w:rsidRPr="008244D6">
        <w:t xml:space="preserve">Rapp, Donald. Human Missions to Mars. Praxis Publishing Limited, </w:t>
      </w:r>
      <w:proofErr w:type="spellStart"/>
      <w:r w:rsidRPr="008244D6">
        <w:t>Chichester</w:t>
      </w:r>
      <w:proofErr w:type="spellEnd"/>
      <w:r w:rsidRPr="008244D6">
        <w:t>, UK, 2007.</w:t>
      </w:r>
    </w:p>
    <w:p w:rsidR="0089487E" w:rsidRDefault="0089487E" w:rsidP="0089487E">
      <w:pPr>
        <w:pStyle w:val="NoSpacing"/>
        <w:numPr>
          <w:ilvl w:val="0"/>
          <w:numId w:val="3"/>
        </w:numPr>
      </w:pPr>
      <w:r w:rsidRPr="008244D6">
        <w:t>Recent similar sensitivity study found break-point to be around efficiency of 1.9</w:t>
      </w:r>
      <w:r>
        <w:t xml:space="preserve"> O2_Per_Year/</w:t>
      </w:r>
      <w:proofErr w:type="spellStart"/>
      <w:r>
        <w:t>ISRU_Mass</w:t>
      </w:r>
      <w:proofErr w:type="spellEnd"/>
      <w:r>
        <w:t>.</w:t>
      </w:r>
    </w:p>
    <w:p w:rsidR="00343670" w:rsidRDefault="0089487E" w:rsidP="0089487E">
      <w:pPr>
        <w:pStyle w:val="NoSpacing"/>
        <w:numPr>
          <w:ilvl w:val="1"/>
          <w:numId w:val="3"/>
        </w:numPr>
      </w:pPr>
      <w:proofErr w:type="spellStart"/>
      <w:r w:rsidRPr="008244D6">
        <w:t>Ishimatsu</w:t>
      </w:r>
      <w:proofErr w:type="spellEnd"/>
      <w:r w:rsidRPr="008244D6">
        <w:t xml:space="preserve">, </w:t>
      </w:r>
      <w:proofErr w:type="spellStart"/>
      <w:r w:rsidRPr="008244D6">
        <w:t>Takuto</w:t>
      </w:r>
      <w:proofErr w:type="spellEnd"/>
      <w:r w:rsidRPr="008244D6">
        <w:t xml:space="preserve">, et al. "A Generalized Multi-Commodity Network Flow Model for Space Exploration Logistics." SPACE (2013). </w:t>
      </w:r>
    </w:p>
    <w:p w:rsidR="00343670" w:rsidRDefault="00343670">
      <w:pPr>
        <w:rPr>
          <w:b/>
        </w:rPr>
      </w:pPr>
      <w:r>
        <w:rPr>
          <w:b/>
        </w:rPr>
        <w:br w:type="page"/>
      </w:r>
    </w:p>
    <w:p w:rsidR="0089487E" w:rsidRPr="00343670" w:rsidRDefault="0089487E" w:rsidP="0089487E">
      <w:pPr>
        <w:pStyle w:val="NoSpacing"/>
      </w:pPr>
      <w:r w:rsidRPr="00343670">
        <w:rPr>
          <w:b/>
        </w:rPr>
        <w:lastRenderedPageBreak/>
        <w:t>Proposed Development Cost Curve</w:t>
      </w:r>
    </w:p>
    <w:tbl>
      <w:tblPr>
        <w:tblStyle w:val="TableGridLight1"/>
        <w:tblW w:w="4540" w:type="dxa"/>
        <w:tblLook w:val="04A0" w:firstRow="1" w:lastRow="0" w:firstColumn="1" w:lastColumn="0" w:noHBand="0" w:noVBand="1"/>
      </w:tblPr>
      <w:tblGrid>
        <w:gridCol w:w="1070"/>
        <w:gridCol w:w="1608"/>
        <w:gridCol w:w="960"/>
        <w:gridCol w:w="960"/>
      </w:tblGrid>
      <w:tr w:rsidR="0089487E" w:rsidRPr="003E2F7F" w:rsidTr="006966D3">
        <w:trPr>
          <w:trHeight w:val="288"/>
        </w:trPr>
        <w:tc>
          <w:tcPr>
            <w:tcW w:w="2620" w:type="dxa"/>
            <w:gridSpan w:val="2"/>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Lunar ISRU</w:t>
            </w:r>
          </w:p>
        </w:tc>
        <w:tc>
          <w:tcPr>
            <w:tcW w:w="960" w:type="dxa"/>
            <w:noWrap/>
            <w:hideMark/>
          </w:tcPr>
          <w:p w:rsidR="0089487E" w:rsidRPr="003E2F7F" w:rsidRDefault="0089487E" w:rsidP="006966D3">
            <w:pPr>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Efficiency</w:t>
            </w:r>
          </w:p>
        </w:tc>
        <w:tc>
          <w:tcPr>
            <w:tcW w:w="1608"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 xml:space="preserve">Cost </w:t>
            </w:r>
            <w:proofErr w:type="spellStart"/>
            <w:r w:rsidRPr="003E2F7F">
              <w:rPr>
                <w:rFonts w:ascii="Calibri" w:eastAsia="Times New Roman" w:hAnsi="Calibri" w:cs="Times New Roman"/>
                <w:color w:val="000000"/>
              </w:rPr>
              <w:t>Attriubute</w:t>
            </w:r>
            <w:proofErr w:type="spellEnd"/>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TRL</w:t>
            </w:r>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Cost B$</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Low</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2</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19</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Med</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0.3</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High</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bl>
    <w:p w:rsidR="0089487E" w:rsidRPr="0028751F" w:rsidRDefault="0089487E" w:rsidP="0089487E">
      <w:pPr>
        <w:pStyle w:val="NoSpacing"/>
        <w:rPr>
          <w:b/>
        </w:rPr>
      </w:pPr>
    </w:p>
    <w:p w:rsidR="0089487E" w:rsidRDefault="0089487E" w:rsidP="0089487E">
      <w:pPr>
        <w:pStyle w:val="NoSpacing"/>
        <w:jc w:val="center"/>
      </w:pPr>
      <w:r>
        <w:rPr>
          <w:noProof/>
        </w:rPr>
        <w:drawing>
          <wp:inline distT="0" distB="0" distL="0" distR="0" wp14:anchorId="4F93E79A" wp14:editId="7828D0EA">
            <wp:extent cx="461518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180" cy="2651760"/>
                    </a:xfrm>
                    <a:prstGeom prst="rect">
                      <a:avLst/>
                    </a:prstGeom>
                    <a:noFill/>
                  </pic:spPr>
                </pic:pic>
              </a:graphicData>
            </a:graphic>
          </wp:inline>
        </w:drawing>
      </w:r>
    </w:p>
    <w:p w:rsidR="0089487E" w:rsidRDefault="0089487E" w:rsidP="0089487E">
      <w:pPr>
        <w:jc w:val="both"/>
      </w:pPr>
    </w:p>
    <w:p w:rsidR="0089487E" w:rsidRDefault="0089487E" w:rsidP="0089487E">
      <w:pPr>
        <w:pStyle w:val="NoSpacing"/>
        <w:rPr>
          <w:b/>
          <w:sz w:val="24"/>
          <w:u w:val="single"/>
        </w:rPr>
      </w:pPr>
      <w:r>
        <w:rPr>
          <w:b/>
          <w:sz w:val="24"/>
          <w:u w:val="single"/>
        </w:rPr>
        <w:t>Alternative Cost Model: Advanced Mission Cost Model</w:t>
      </w:r>
    </w:p>
    <w:p w:rsidR="0089487E" w:rsidRDefault="0089487E" w:rsidP="0089487E">
      <w:pPr>
        <w:pStyle w:val="NoSpacing"/>
        <w:rPr>
          <w:b/>
          <w:sz w:val="24"/>
          <w:u w:val="single"/>
        </w:rPr>
      </w:pPr>
    </w:p>
    <w:p w:rsidR="0089487E" w:rsidRDefault="0089487E" w:rsidP="005B171B">
      <w:pPr>
        <w:pStyle w:val="NoSpacing"/>
        <w:jc w:val="both"/>
      </w:pPr>
      <w:r>
        <w:t xml:space="preserve">As an alternative to using our own cost model, we will investigate NASA’s Advanced Mission Cost Model, which has been used for over 15 years for predicting development, launch, and operations costs for a variety of missions. The model is a function of many parameters which have been empirically determined, as well as a subjective ‘Difficulty’ parameter, D, which accounts for the relative efforts of each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928"/>
        <w:gridCol w:w="648"/>
      </w:tblGrid>
      <w:tr w:rsidR="0089487E" w:rsidRPr="00343670" w:rsidTr="006966D3">
        <w:trPr>
          <w:trHeight w:val="458"/>
        </w:trPr>
        <w:tc>
          <w:tcPr>
            <w:tcW w:w="8928" w:type="dxa"/>
          </w:tcPr>
          <w:p w:rsidR="0089487E" w:rsidRPr="00343670" w:rsidRDefault="0089487E" w:rsidP="006966D3">
            <w:pPr>
              <w:pStyle w:val="AAE450Caption"/>
              <w:keepNext/>
              <w:rPr>
                <w:rFonts w:asciiTheme="minorHAnsi" w:hAnsiTheme="minorHAnsi"/>
                <w:sz w:val="22"/>
                <w:szCs w:val="22"/>
              </w:rPr>
            </w:pPr>
            <w:r w:rsidRPr="00343670">
              <w:rPr>
                <w:rFonts w:asciiTheme="minorHAnsi" w:hAnsiTheme="minorHAnsi"/>
                <w:position w:val="-10"/>
                <w:sz w:val="22"/>
                <w:szCs w:val="22"/>
              </w:rPr>
              <w:object w:dxaOrig="3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5" o:title=""/>
                </v:shape>
                <o:OLEObject Type="Embed" ProgID="Equation.3" ShapeID="_x0000_i1025" DrawAspect="Content" ObjectID="_1519666178" r:id="rId16"/>
              </w:object>
            </w:r>
          </w:p>
        </w:tc>
        <w:tc>
          <w:tcPr>
            <w:tcW w:w="648" w:type="dxa"/>
          </w:tcPr>
          <w:p w:rsidR="0089487E" w:rsidRPr="00343670" w:rsidRDefault="0089487E" w:rsidP="006966D3">
            <w:pPr>
              <w:pStyle w:val="AAE450Caption"/>
              <w:rPr>
                <w:rFonts w:asciiTheme="minorHAnsi" w:hAnsiTheme="minorHAnsi"/>
                <w:sz w:val="22"/>
                <w:szCs w:val="22"/>
              </w:rPr>
            </w:pPr>
          </w:p>
        </w:tc>
      </w:tr>
    </w:tbl>
    <w:p w:rsidR="0089487E" w:rsidRPr="00343670" w:rsidRDefault="0089487E" w:rsidP="0089487E">
      <w:pPr>
        <w:pStyle w:val="NoSpacing"/>
      </w:pPr>
      <w:proofErr w:type="gramStart"/>
      <w:r w:rsidRPr="00343670">
        <w:t>where</w:t>
      </w:r>
      <w:proofErr w:type="gramEnd"/>
    </w:p>
    <w:p w:rsidR="0089487E" w:rsidRPr="00343670" w:rsidRDefault="0089487E" w:rsidP="0089487E">
      <w:pPr>
        <w:pStyle w:val="NoSpacing"/>
      </w:pPr>
    </w:p>
    <w:p w:rsidR="0089487E" w:rsidRPr="00343670" w:rsidRDefault="0089487E" w:rsidP="0089487E">
      <w:pPr>
        <w:pStyle w:val="Nomenclature"/>
        <w:rPr>
          <w:rStyle w:val="StyleNomenclatureLatinItalicChar"/>
          <w:rFonts w:asciiTheme="minorHAnsi" w:hAnsiTheme="minorHAnsi"/>
          <w:sz w:val="22"/>
          <w:szCs w:val="22"/>
        </w:rPr>
        <w:sectPr w:rsidR="0089487E" w:rsidRPr="00343670">
          <w:pgSz w:w="12240" w:h="15840"/>
          <w:pgMar w:top="1440" w:right="1440" w:bottom="1440" w:left="1440" w:header="720" w:footer="720" w:gutter="0"/>
          <w:cols w:space="720"/>
          <w:docGrid w:linePitch="360"/>
        </w:sectPr>
      </w:pPr>
    </w:p>
    <w:p w:rsidR="0089487E" w:rsidRPr="00343670" w:rsidRDefault="0089487E" w:rsidP="0089487E">
      <w:pPr>
        <w:pStyle w:val="Nomenclature"/>
        <w:rPr>
          <w:rFonts w:asciiTheme="minorHAnsi" w:hAnsiTheme="minorHAnsi"/>
          <w:sz w:val="22"/>
          <w:szCs w:val="22"/>
          <w:lang w:val="de-DE"/>
        </w:rPr>
      </w:pPr>
      <w:r w:rsidRPr="00343670">
        <w:rPr>
          <w:rStyle w:val="StyleNomenclatureLatinItalicChar"/>
          <w:rFonts w:asciiTheme="minorHAnsi" w:hAnsiTheme="minorHAnsi"/>
          <w:sz w:val="22"/>
          <w:szCs w:val="22"/>
        </w:rPr>
        <w:t>α</w:t>
      </w:r>
      <w:r w:rsidRPr="00343670">
        <w:rPr>
          <w:rFonts w:asciiTheme="minorHAnsi" w:hAnsiTheme="minorHAnsi"/>
          <w:sz w:val="22"/>
          <w:szCs w:val="22"/>
          <w:lang w:val="de-DE"/>
        </w:rPr>
        <w:tab/>
        <w:t>=</w:t>
      </w:r>
      <w:r w:rsidRPr="00343670">
        <w:rPr>
          <w:rFonts w:asciiTheme="minorHAnsi" w:hAnsiTheme="minorHAnsi"/>
          <w:sz w:val="22"/>
          <w:szCs w:val="22"/>
          <w:lang w:val="de-DE"/>
        </w:rPr>
        <w:tab/>
        <w:t>5.56 x 10</w:t>
      </w:r>
      <w:r w:rsidRPr="00343670">
        <w:rPr>
          <w:rFonts w:asciiTheme="minorHAnsi" w:hAnsiTheme="minorHAnsi"/>
          <w:sz w:val="22"/>
          <w:szCs w:val="22"/>
          <w:vertAlign w:val="superscript"/>
          <w:lang w:val="de-DE"/>
        </w:rPr>
        <w:t>-4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β</w:t>
      </w:r>
      <w:r w:rsidRPr="00343670">
        <w:rPr>
          <w:rStyle w:val="StyleNomenclatureLatinItalicChar"/>
          <w:rFonts w:asciiTheme="minorHAnsi" w:hAnsiTheme="minorHAnsi"/>
          <w:sz w:val="22"/>
          <w:szCs w:val="22"/>
        </w:rPr>
        <w:tab/>
      </w:r>
      <w:r w:rsidRPr="00343670">
        <w:rPr>
          <w:rFonts w:asciiTheme="minorHAnsi" w:hAnsiTheme="minorHAnsi"/>
          <w:sz w:val="22"/>
          <w:szCs w:val="22"/>
        </w:rPr>
        <w:t>=</w:t>
      </w:r>
      <w:r w:rsidRPr="00343670">
        <w:rPr>
          <w:rFonts w:asciiTheme="minorHAnsi" w:hAnsiTheme="minorHAnsi"/>
          <w:sz w:val="22"/>
          <w:szCs w:val="22"/>
        </w:rPr>
        <w:tab/>
        <w:t>0.5941</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Ξ</w:t>
      </w:r>
      <w:r w:rsidRPr="00343670">
        <w:rPr>
          <w:rFonts w:asciiTheme="minorHAnsi" w:hAnsiTheme="minorHAnsi"/>
          <w:sz w:val="22"/>
          <w:szCs w:val="22"/>
          <w:vertAlign w:val="subscript"/>
        </w:rPr>
        <w:tab/>
      </w:r>
      <w:r w:rsidRPr="00343670">
        <w:rPr>
          <w:rFonts w:asciiTheme="minorHAnsi" w:hAnsiTheme="minorHAnsi"/>
          <w:sz w:val="22"/>
          <w:szCs w:val="22"/>
        </w:rPr>
        <w:t>=</w:t>
      </w:r>
      <w:r w:rsidRPr="00343670">
        <w:rPr>
          <w:rFonts w:asciiTheme="minorHAnsi" w:hAnsiTheme="minorHAnsi"/>
          <w:sz w:val="22"/>
          <w:szCs w:val="22"/>
        </w:rPr>
        <w:tab/>
        <w:t>0.6604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δ</w:t>
      </w:r>
      <w:r w:rsidRPr="00343670">
        <w:rPr>
          <w:rFonts w:asciiTheme="minorHAnsi" w:hAnsiTheme="minorHAnsi"/>
          <w:sz w:val="22"/>
          <w:szCs w:val="22"/>
        </w:rPr>
        <w:tab/>
        <w:t>=</w:t>
      </w:r>
      <w:r w:rsidRPr="00343670">
        <w:rPr>
          <w:rFonts w:asciiTheme="minorHAnsi" w:hAnsiTheme="minorHAnsi"/>
          <w:sz w:val="22"/>
          <w:szCs w:val="22"/>
        </w:rPr>
        <w:tab/>
        <w:t>80.599</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ε</w:t>
      </w:r>
      <w:r w:rsidRPr="00343670">
        <w:rPr>
          <w:rFonts w:asciiTheme="minorHAnsi" w:hAnsiTheme="minorHAnsi"/>
          <w:sz w:val="22"/>
          <w:szCs w:val="22"/>
        </w:rPr>
        <w:tab/>
        <w:t>=</w:t>
      </w:r>
      <w:r w:rsidRPr="00343670">
        <w:rPr>
          <w:rFonts w:asciiTheme="minorHAnsi" w:hAnsiTheme="minorHAnsi"/>
          <w:sz w:val="22"/>
          <w:szCs w:val="22"/>
        </w:rPr>
        <w:tab/>
        <w:t>3.8085 x 10</w:t>
      </w:r>
      <w:r w:rsidRPr="00343670">
        <w:rPr>
          <w:rFonts w:asciiTheme="minorHAnsi" w:hAnsiTheme="minorHAnsi"/>
          <w:sz w:val="22"/>
          <w:szCs w:val="22"/>
          <w:vertAlign w:val="superscript"/>
        </w:rPr>
        <w:t>-55</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φ</w:t>
      </w:r>
      <w:r w:rsidRPr="00343670">
        <w:rPr>
          <w:rFonts w:asciiTheme="minorHAnsi" w:hAnsiTheme="minorHAnsi"/>
          <w:sz w:val="22"/>
          <w:szCs w:val="22"/>
        </w:rPr>
        <w:tab/>
        <w:t>=</w:t>
      </w:r>
      <w:r w:rsidRPr="00343670">
        <w:rPr>
          <w:rFonts w:asciiTheme="minorHAnsi" w:hAnsiTheme="minorHAnsi"/>
          <w:sz w:val="22"/>
          <w:szCs w:val="22"/>
        </w:rPr>
        <w:tab/>
        <w:t>-0.3553</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γ</w:t>
      </w:r>
      <w:r w:rsidRPr="00343670">
        <w:rPr>
          <w:rFonts w:asciiTheme="minorHAnsi" w:hAnsiTheme="minorHAnsi"/>
          <w:sz w:val="22"/>
          <w:szCs w:val="22"/>
        </w:rPr>
        <w:tab/>
        <w:t>=</w:t>
      </w:r>
      <w:r w:rsidRPr="00343670">
        <w:rPr>
          <w:rFonts w:asciiTheme="minorHAnsi" w:hAnsiTheme="minorHAnsi"/>
          <w:sz w:val="22"/>
          <w:szCs w:val="22"/>
        </w:rPr>
        <w:tab/>
        <w:t>1.5691</w:t>
      </w:r>
    </w:p>
    <w:p w:rsidR="0089487E" w:rsidRPr="00343670" w:rsidRDefault="0089487E" w:rsidP="0089487E">
      <w:pPr>
        <w:pStyle w:val="Nomenclature"/>
        <w:rPr>
          <w:rStyle w:val="StyleNomenclatureLatinItalicChar"/>
          <w:rFonts w:asciiTheme="minorHAnsi" w:hAnsiTheme="minorHAnsi"/>
          <w:sz w:val="22"/>
          <w:szCs w:val="22"/>
        </w:rPr>
      </w:pPr>
      <w:r w:rsidRPr="00343670">
        <w:rPr>
          <w:rStyle w:val="StyleNomenclatureLatinItalicChar"/>
          <w:rFonts w:asciiTheme="minorHAnsi" w:hAnsiTheme="minorHAnsi"/>
          <w:sz w:val="22"/>
          <w:szCs w:val="22"/>
        </w:rPr>
        <w:t>Q</w:t>
      </w:r>
      <w:r w:rsidRPr="00343670">
        <w:rPr>
          <w:rFonts w:asciiTheme="minorHAnsi" w:hAnsiTheme="minorHAnsi"/>
          <w:sz w:val="22"/>
          <w:szCs w:val="22"/>
        </w:rPr>
        <w:tab/>
        <w:t>=</w:t>
      </w:r>
      <w:r w:rsidRPr="00343670">
        <w:rPr>
          <w:rFonts w:asciiTheme="minorHAnsi" w:hAnsiTheme="minorHAnsi"/>
          <w:sz w:val="22"/>
          <w:szCs w:val="22"/>
        </w:rPr>
        <w:tab/>
        <w:t xml:space="preserve">Quantity </w:t>
      </w:r>
    </w:p>
    <w:p w:rsidR="0089487E" w:rsidRPr="00343670" w:rsidRDefault="0089487E" w:rsidP="0089487E">
      <w:pPr>
        <w:pStyle w:val="Nomenclature"/>
        <w:rPr>
          <w:rFonts w:asciiTheme="minorHAnsi" w:hAnsiTheme="minorHAnsi"/>
          <w:iCs/>
          <w:sz w:val="22"/>
          <w:szCs w:val="22"/>
        </w:rPr>
      </w:pPr>
      <w:r w:rsidRPr="00343670">
        <w:rPr>
          <w:rStyle w:val="StyleNomenclatureLatinItalicChar"/>
          <w:rFonts w:asciiTheme="minorHAnsi" w:hAnsiTheme="minorHAnsi"/>
          <w:sz w:val="22"/>
          <w:szCs w:val="22"/>
        </w:rPr>
        <w:t>M</w:t>
      </w:r>
      <w:r w:rsidRPr="00343670">
        <w:rPr>
          <w:rFonts w:asciiTheme="minorHAnsi" w:hAnsiTheme="minorHAnsi"/>
          <w:sz w:val="22"/>
          <w:szCs w:val="22"/>
        </w:rPr>
        <w:tab/>
        <w:t>=</w:t>
      </w:r>
      <w:r w:rsidRPr="00343670">
        <w:rPr>
          <w:rFonts w:asciiTheme="minorHAnsi" w:hAnsiTheme="minorHAnsi"/>
          <w:sz w:val="22"/>
          <w:szCs w:val="22"/>
        </w:rPr>
        <w:tab/>
      </w:r>
      <w:r w:rsidRPr="00343670">
        <w:rPr>
          <w:rStyle w:val="StyleNomenclatureLatinItalicChar"/>
          <w:rFonts w:asciiTheme="minorHAnsi" w:hAnsiTheme="minorHAnsi"/>
          <w:i w:val="0"/>
          <w:iCs/>
          <w:sz w:val="22"/>
          <w:szCs w:val="22"/>
        </w:rPr>
        <w:t>Dry Mass (</w:t>
      </w:r>
      <w:proofErr w:type="spellStart"/>
      <w:r w:rsidRPr="00343670">
        <w:rPr>
          <w:rStyle w:val="StyleNomenclatureLatinItalicChar"/>
          <w:rFonts w:asciiTheme="minorHAnsi" w:hAnsiTheme="minorHAnsi"/>
          <w:i w:val="0"/>
          <w:iCs/>
          <w:sz w:val="22"/>
          <w:szCs w:val="22"/>
        </w:rPr>
        <w:t>lbs</w:t>
      </w:r>
      <w:proofErr w:type="spellEnd"/>
      <w:r w:rsidRPr="00343670">
        <w:rPr>
          <w:rStyle w:val="StyleNomenclatureLatinItalicChar"/>
          <w:rFonts w:asciiTheme="minorHAnsi" w:hAnsiTheme="minorHAnsi"/>
          <w:i w:val="0"/>
          <w:iCs/>
          <w:sz w:val="22"/>
          <w:szCs w:val="22"/>
        </w:rPr>
        <w:t>)</w:t>
      </w:r>
    </w:p>
    <w:p w:rsidR="0089487E" w:rsidRPr="00343670" w:rsidRDefault="0089487E" w:rsidP="0089487E">
      <w:pPr>
        <w:pStyle w:val="StyleNomenclatureLatinItalic"/>
        <w:rPr>
          <w:rFonts w:asciiTheme="minorHAnsi" w:hAnsiTheme="minorHAnsi"/>
          <w:i w:val="0"/>
          <w:iCs/>
          <w:sz w:val="22"/>
          <w:szCs w:val="22"/>
        </w:rPr>
      </w:pPr>
      <w:r w:rsidRPr="00343670">
        <w:rPr>
          <w:rStyle w:val="StyleNomenclatureLatinItalicChar"/>
          <w:rFonts w:asciiTheme="minorHAnsi" w:hAnsiTheme="minorHAnsi"/>
          <w:sz w:val="22"/>
          <w:szCs w:val="22"/>
        </w:rPr>
        <w:t>S</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Specification</w:t>
      </w:r>
    </w:p>
    <w:p w:rsidR="0089487E" w:rsidRPr="00343670" w:rsidRDefault="0089487E" w:rsidP="0089487E">
      <w:pPr>
        <w:pStyle w:val="StyleNomenclatureLatinItalic"/>
        <w:rPr>
          <w:rFonts w:asciiTheme="minorHAnsi" w:hAnsiTheme="minorHAnsi"/>
          <w:iCs/>
          <w:sz w:val="22"/>
          <w:szCs w:val="22"/>
        </w:rPr>
      </w:pPr>
      <w:r w:rsidRPr="00343670">
        <w:rPr>
          <w:rFonts w:asciiTheme="minorHAnsi" w:hAnsiTheme="minorHAnsi"/>
          <w:sz w:val="22"/>
          <w:szCs w:val="22"/>
        </w:rPr>
        <w:t>IOC</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sz w:val="22"/>
          <w:szCs w:val="22"/>
        </w:rPr>
        <w:t>Initial Operating Capability</w:t>
      </w:r>
    </w:p>
    <w:p w:rsidR="0089487E" w:rsidRPr="00343670" w:rsidRDefault="0089487E" w:rsidP="0089487E">
      <w:pPr>
        <w:pStyle w:val="StyleNomenclatureLatinItalic"/>
        <w:rPr>
          <w:rFonts w:asciiTheme="minorHAnsi" w:hAnsiTheme="minorHAnsi"/>
          <w:i w:val="0"/>
          <w:iCs/>
          <w:sz w:val="22"/>
          <w:szCs w:val="22"/>
        </w:rPr>
      </w:pPr>
      <w:r w:rsidRPr="00343670">
        <w:rPr>
          <w:rFonts w:asciiTheme="minorHAnsi" w:hAnsiTheme="minorHAnsi"/>
          <w:iCs/>
          <w:sz w:val="22"/>
          <w:szCs w:val="22"/>
        </w:rPr>
        <w:t>B</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Block Number</w:t>
      </w:r>
    </w:p>
    <w:p w:rsidR="0089487E" w:rsidRPr="00343670" w:rsidRDefault="0089487E" w:rsidP="00343670">
      <w:pPr>
        <w:pStyle w:val="Nomenclature"/>
        <w:rPr>
          <w:rFonts w:asciiTheme="minorHAnsi" w:hAnsiTheme="minorHAnsi"/>
          <w:sz w:val="22"/>
          <w:szCs w:val="22"/>
        </w:rPr>
        <w:sectPr w:rsidR="0089487E" w:rsidRPr="00343670" w:rsidSect="0089487E">
          <w:type w:val="continuous"/>
          <w:pgSz w:w="12240" w:h="15840"/>
          <w:pgMar w:top="1440" w:right="1440" w:bottom="1440" w:left="1440" w:header="720" w:footer="720" w:gutter="0"/>
          <w:cols w:num="2" w:space="720"/>
          <w:docGrid w:linePitch="360"/>
        </w:sectPr>
      </w:pPr>
      <w:r w:rsidRPr="00343670">
        <w:rPr>
          <w:rStyle w:val="StyleNomenclatureLatinItalicChar"/>
          <w:rFonts w:asciiTheme="minorHAnsi" w:hAnsiTheme="minorHAnsi"/>
          <w:sz w:val="22"/>
          <w:szCs w:val="22"/>
        </w:rPr>
        <w:t>D</w:t>
      </w:r>
      <w:r w:rsidRPr="00343670">
        <w:rPr>
          <w:rFonts w:asciiTheme="minorHAnsi" w:hAnsiTheme="minorHAnsi"/>
          <w:sz w:val="22"/>
          <w:szCs w:val="22"/>
        </w:rPr>
        <w:tab/>
        <w:t>=</w:t>
      </w:r>
      <w:r w:rsidRPr="00343670">
        <w:rPr>
          <w:rFonts w:asciiTheme="minorHAnsi" w:hAnsiTheme="minorHAnsi"/>
          <w:sz w:val="22"/>
          <w:szCs w:val="22"/>
        </w:rPr>
        <w:tab/>
        <w:t>Difficulty</w:t>
      </w:r>
    </w:p>
    <w:p w:rsidR="00343670" w:rsidRDefault="00343670" w:rsidP="0089487E">
      <w:pPr>
        <w:pStyle w:val="NoSpacing"/>
        <w:rPr>
          <w:rFonts w:ascii="Arial" w:hAnsi="Arial" w:cs="Arial"/>
          <w:color w:val="222222"/>
          <w:sz w:val="20"/>
          <w:szCs w:val="20"/>
          <w:shd w:val="clear" w:color="auto" w:fill="FFFFFF"/>
        </w:rPr>
      </w:pPr>
    </w:p>
    <w:p w:rsidR="0089487E" w:rsidRPr="00343670" w:rsidRDefault="0089487E" w:rsidP="0089487E">
      <w:pPr>
        <w:pStyle w:val="NoSpacing"/>
        <w:rPr>
          <w:rFonts w:cs="Arial"/>
          <w:color w:val="222222"/>
          <w:shd w:val="clear" w:color="auto" w:fill="FFFFFF"/>
        </w:rPr>
      </w:pPr>
      <w:r w:rsidRPr="00343670">
        <w:rPr>
          <w:rFonts w:cs="Arial"/>
          <w:color w:val="222222"/>
          <w:shd w:val="clear" w:color="auto" w:fill="FFFFFF"/>
        </w:rPr>
        <w:t xml:space="preserve">Larson, Wiley J., and Linda K. </w:t>
      </w:r>
      <w:proofErr w:type="spellStart"/>
      <w:r w:rsidRPr="00343670">
        <w:rPr>
          <w:rFonts w:cs="Arial"/>
          <w:color w:val="222222"/>
          <w:shd w:val="clear" w:color="auto" w:fill="FFFFFF"/>
        </w:rPr>
        <w:t>Pranke</w:t>
      </w:r>
      <w:proofErr w:type="spellEnd"/>
      <w:r w:rsidRPr="00343670">
        <w:rPr>
          <w:rFonts w:cs="Arial"/>
          <w:color w:val="222222"/>
          <w:shd w:val="clear" w:color="auto" w:fill="FFFFFF"/>
        </w:rPr>
        <w:t>, eds.</w:t>
      </w:r>
      <w:r w:rsidRPr="00343670">
        <w:rPr>
          <w:rStyle w:val="apple-converted-space"/>
          <w:rFonts w:cs="Arial"/>
          <w:color w:val="222222"/>
          <w:shd w:val="clear" w:color="auto" w:fill="FFFFFF"/>
        </w:rPr>
        <w:t> </w:t>
      </w:r>
      <w:r w:rsidRPr="00343670">
        <w:rPr>
          <w:rFonts w:cs="Arial"/>
          <w:i/>
          <w:iCs/>
          <w:color w:val="222222"/>
          <w:shd w:val="clear" w:color="auto" w:fill="FFFFFF"/>
        </w:rPr>
        <w:t>Human spaceflight: mission analysis and design</w:t>
      </w:r>
      <w:r w:rsidRPr="00343670">
        <w:rPr>
          <w:rFonts w:cs="Arial"/>
          <w:color w:val="222222"/>
          <w:shd w:val="clear" w:color="auto" w:fill="FFFFFF"/>
        </w:rPr>
        <w:t>. McGraw-Hill Companies, 1999.</w:t>
      </w:r>
    </w:p>
    <w:p w:rsidR="0089487E" w:rsidRPr="00DA2959" w:rsidRDefault="00343670" w:rsidP="00343670">
      <w:pPr>
        <w:pStyle w:val="NoSpacing"/>
      </w:pPr>
      <w:r>
        <w:t xml:space="preserve">Purdue, </w:t>
      </w:r>
      <w:r w:rsidRPr="00343670">
        <w:t xml:space="preserve">AAE 450 Senior Spacecraft Design </w:t>
      </w:r>
      <w:r>
        <w:t xml:space="preserve">Project Final Report, </w:t>
      </w:r>
      <w:proofErr w:type="gramStart"/>
      <w:r w:rsidRPr="00343670">
        <w:t>Spring</w:t>
      </w:r>
      <w:proofErr w:type="gramEnd"/>
      <w:r w:rsidRPr="00343670">
        <w:t xml:space="preserve"> 2004</w:t>
      </w:r>
    </w:p>
    <w:sectPr w:rsidR="0089487E" w:rsidRPr="00DA2959" w:rsidSect="008948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40198"/>
    <w:multiLevelType w:val="hybridMultilevel"/>
    <w:tmpl w:val="041E3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343670"/>
    <w:rsid w:val="00473B4F"/>
    <w:rsid w:val="005B171B"/>
    <w:rsid w:val="005C2CE4"/>
    <w:rsid w:val="006546CD"/>
    <w:rsid w:val="006C1A61"/>
    <w:rsid w:val="00804779"/>
    <w:rsid w:val="008500F5"/>
    <w:rsid w:val="0089487E"/>
    <w:rsid w:val="00AA07BB"/>
    <w:rsid w:val="00AA6A88"/>
    <w:rsid w:val="00B9416F"/>
    <w:rsid w:val="00BC4BCC"/>
    <w:rsid w:val="00C941A6"/>
    <w:rsid w:val="00CE12A6"/>
    <w:rsid w:val="00DA2959"/>
    <w:rsid w:val="00DF1C3F"/>
    <w:rsid w:val="00E2678B"/>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CAF58-86C6-4C00-B83D-9BE70242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2CE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8948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9487E"/>
  </w:style>
  <w:style w:type="paragraph" w:customStyle="1" w:styleId="AAE450Caption">
    <w:name w:val="AAE 450 Caption"/>
    <w:basedOn w:val="Caption"/>
    <w:link w:val="AAE450CaptionChar"/>
    <w:rsid w:val="0089487E"/>
    <w:pPr>
      <w:spacing w:before="120" w:after="120"/>
      <w:jc w:val="center"/>
    </w:pPr>
    <w:rPr>
      <w:rFonts w:ascii="Times New Roman" w:eastAsia="Times New Roman" w:hAnsi="Times New Roman" w:cs="Times New Roman"/>
      <w:b w:val="0"/>
      <w:color w:val="auto"/>
      <w:sz w:val="28"/>
      <w:szCs w:val="20"/>
    </w:rPr>
  </w:style>
  <w:style w:type="character" w:customStyle="1" w:styleId="AAE450CaptionChar">
    <w:name w:val="AAE 450 Caption Char"/>
    <w:basedOn w:val="DefaultParagraphFont"/>
    <w:link w:val="AAE450Caption"/>
    <w:rsid w:val="0089487E"/>
    <w:rPr>
      <w:rFonts w:ascii="Times New Roman" w:eastAsia="Times New Roman" w:hAnsi="Times New Roman" w:cs="Times New Roman"/>
      <w:bCs/>
      <w:sz w:val="28"/>
      <w:szCs w:val="20"/>
    </w:rPr>
  </w:style>
  <w:style w:type="paragraph" w:customStyle="1" w:styleId="Nomenclature">
    <w:name w:val="Nomenclature"/>
    <w:basedOn w:val="Normal"/>
    <w:link w:val="NomenclatureChar"/>
    <w:rsid w:val="0089487E"/>
    <w:pPr>
      <w:widowControl w:val="0"/>
      <w:tabs>
        <w:tab w:val="left" w:pos="864"/>
        <w:tab w:val="left" w:pos="1152"/>
      </w:tabs>
      <w:spacing w:after="0" w:line="240" w:lineRule="auto"/>
      <w:jc w:val="both"/>
    </w:pPr>
    <w:rPr>
      <w:rFonts w:ascii="Times New Roman" w:eastAsia="Times" w:hAnsi="Times New Roman" w:cs="Times New Roman"/>
      <w:sz w:val="24"/>
      <w:szCs w:val="20"/>
    </w:rPr>
  </w:style>
  <w:style w:type="paragraph" w:customStyle="1" w:styleId="StyleNomenclatureLatinItalic">
    <w:name w:val="Style Nomenclature + (Latin) Italic"/>
    <w:basedOn w:val="Nomenclature"/>
    <w:link w:val="StyleNomenclatureLatinItalicChar"/>
    <w:rsid w:val="0089487E"/>
    <w:rPr>
      <w:i/>
    </w:rPr>
  </w:style>
  <w:style w:type="character" w:customStyle="1" w:styleId="NomenclatureChar">
    <w:name w:val="Nomenclature Char"/>
    <w:basedOn w:val="DefaultParagraphFont"/>
    <w:link w:val="Nomenclature"/>
    <w:rsid w:val="0089487E"/>
    <w:rPr>
      <w:rFonts w:ascii="Times New Roman" w:eastAsia="Times" w:hAnsi="Times New Roman" w:cs="Times New Roman"/>
      <w:sz w:val="24"/>
      <w:szCs w:val="20"/>
    </w:rPr>
  </w:style>
  <w:style w:type="character" w:customStyle="1" w:styleId="StyleNomenclatureLatinItalicChar">
    <w:name w:val="Style Nomenclature + (Latin) Italic Char"/>
    <w:basedOn w:val="NomenclatureChar"/>
    <w:link w:val="StyleNomenclatureLatinItalic"/>
    <w:rsid w:val="0089487E"/>
    <w:rPr>
      <w:rFonts w:ascii="Times New Roman" w:eastAsia="Times"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3811">
      <w:bodyDiv w:val="1"/>
      <w:marLeft w:val="0"/>
      <w:marRight w:val="0"/>
      <w:marTop w:val="0"/>
      <w:marBottom w:val="0"/>
      <w:divBdr>
        <w:top w:val="none" w:sz="0" w:space="0" w:color="auto"/>
        <w:left w:val="none" w:sz="0" w:space="0" w:color="auto"/>
        <w:bottom w:val="none" w:sz="0" w:space="0" w:color="auto"/>
        <w:right w:val="none" w:sz="0" w:space="0" w:color="auto"/>
      </w:divBdr>
    </w:div>
    <w:div w:id="18799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wmf"/><Relationship Id="rId10" Type="http://schemas.openxmlformats.org/officeDocument/2006/relationships/hyperlink" Target="https://en.wikipedia.org/wiki/Nuclear_thermal_rocket" TargetMode="External"/><Relationship Id="rId4" Type="http://schemas.openxmlformats.org/officeDocument/2006/relationships/webSettings" Target="webSettings.xml"/><Relationship Id="rId9" Type="http://schemas.openxmlformats.org/officeDocument/2006/relationships/hyperlink" Target="http://trajectory.grc.nasa.gov/aboutus/papers/AIAA-93-4170.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siwald@gmail.com</cp:lastModifiedBy>
  <cp:revision>15</cp:revision>
  <cp:lastPrinted>2016-03-17T00:43:00Z</cp:lastPrinted>
  <dcterms:created xsi:type="dcterms:W3CDTF">2016-03-15T21:38:00Z</dcterms:created>
  <dcterms:modified xsi:type="dcterms:W3CDTF">2016-03-17T00:43:00Z</dcterms:modified>
</cp:coreProperties>
</file>