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296" w:rsidRDefault="000105AD">
      <w:r>
        <w:t>(b3) DOE</w:t>
      </w:r>
    </w:p>
    <w:p w:rsidR="000105AD" w:rsidRDefault="000105AD" w:rsidP="00DA2959">
      <w:pPr>
        <w:pStyle w:val="NoSpacing"/>
        <w:ind w:firstLine="360"/>
        <w:jc w:val="both"/>
      </w:pPr>
      <w:r>
        <w:t>The design space for the 2040 Mars Mission is developed from the consideration of six different design varia</w:t>
      </w:r>
      <w:r w:rsidR="00E80667">
        <w:t>bles</w:t>
      </w:r>
      <w:r w:rsidR="00AA07BB">
        <w:t>, or factors,</w:t>
      </w:r>
      <w:r w:rsidR="00E80667">
        <w:t xml:space="preserve"> </w:t>
      </w:r>
      <w:r w:rsidR="00AA07BB">
        <w:t>each with numerous levels</w:t>
      </w:r>
      <w:r w:rsidR="00E80667">
        <w:t xml:space="preserve"> as indicated below.</w:t>
      </w:r>
      <w:r w:rsidR="00AA07BB">
        <w:t xml:space="preserve"> The levels of the first three factors </w:t>
      </w:r>
      <w:r w:rsidR="00DA2959">
        <w:t>were assigned</w:t>
      </w:r>
      <w:r w:rsidR="00AA07BB">
        <w:t xml:space="preserve"> to characterize the reasonable range of technological development achievable for a 2040 time frame Mars mission. The research justification for these levels may be found in the appendix</w:t>
      </w:r>
      <w:r w:rsidR="000326AC">
        <w:t xml:space="preserve"> of this submission</w:t>
      </w:r>
      <w:r w:rsidR="00AA07BB">
        <w:t xml:space="preserve">, </w:t>
      </w:r>
      <w:r w:rsidR="000326AC">
        <w:t xml:space="preserve">as well as </w:t>
      </w:r>
      <w:r w:rsidR="00AA07BB">
        <w:t xml:space="preserve">a fourth potential factor, </w:t>
      </w:r>
      <w:r w:rsidR="000326AC">
        <w:t>“</w:t>
      </w:r>
      <w:r w:rsidR="00AA07BB">
        <w:t xml:space="preserve">electric propulsion </w:t>
      </w:r>
      <w:proofErr w:type="spellStart"/>
      <w:r w:rsidR="00AA07BB">
        <w:t>Isp</w:t>
      </w:r>
      <w:proofErr w:type="spellEnd"/>
      <w:r w:rsidR="000326AC">
        <w:t>”</w:t>
      </w:r>
      <w:r w:rsidR="00AA07BB">
        <w:t>. The levels for the mission architecture factor represent the 10,</w:t>
      </w:r>
      <w:r w:rsidR="000326AC">
        <w:t>560</w:t>
      </w:r>
      <w:r w:rsidR="00AA07BB">
        <w:t xml:space="preserve"> unique architectures considered by the previous SDM term project. Finally, the levels for the surface crew size and transit crew size factors  were chosen to represent the crew requirements for a small, medium, and large human outpost on Mars. </w:t>
      </w:r>
    </w:p>
    <w:p w:rsidR="00E80667" w:rsidRDefault="00E80667" w:rsidP="000105AD">
      <w:pPr>
        <w:pStyle w:val="NoSpacing"/>
      </w:pPr>
    </w:p>
    <w:p w:rsidR="00FA7FA4" w:rsidRDefault="00E80667" w:rsidP="000105AD">
      <w:pPr>
        <w:pStyle w:val="NoSpacing"/>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highlight w:val="yellow"/>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445, 452, 465, 480</m:t>
                    </m:r>
                  </m:e>
                </m:mr>
                <m:mr>
                  <m:e>
                    <m:r>
                      <w:rPr>
                        <w:rFonts w:ascii="Cambria Math" w:hAnsi="Cambria Math"/>
                      </w:rPr>
                      <m:t>850, 950, 1000</m:t>
                    </m:r>
                  </m:e>
                </m:mr>
                <m:mr>
                  <m:e>
                    <m:m>
                      <m:mPr>
                        <m:mcs>
                          <m:mc>
                            <m:mcPr>
                              <m:count m:val="1"/>
                              <m:mcJc m:val="center"/>
                            </m:mcPr>
                          </m:mc>
                        </m:mcs>
                        <m:ctrlPr>
                          <w:rPr>
                            <w:rFonts w:ascii="Cambria Math" w:hAnsi="Cambria Math"/>
                            <w:i/>
                          </w:rPr>
                        </m:ctrlPr>
                      </m:mPr>
                      <m:mr>
                        <m:e>
                          <m:r>
                            <w:rPr>
                              <w:rFonts w:ascii="Cambria Math" w:hAnsi="Cambria Math"/>
                              <w:highlight w:val="yellow"/>
                            </w:rPr>
                            <m:t>0.</m:t>
                          </m:r>
                          <m:r>
                            <w:rPr>
                              <w:rFonts w:ascii="Cambria Math" w:hAnsi="Cambria Math"/>
                            </w:rPr>
                            <m:t>5, 1.0, 10.0</m:t>
                          </m:r>
                        </m:e>
                      </m:mr>
                      <m:mr>
                        <m:e>
                          <m:r>
                            <w:rPr>
                              <w:rFonts w:ascii="Cambria Math" w:hAnsi="Cambria Math"/>
                            </w:rPr>
                            <m:t>0,1,…10560</m:t>
                          </m:r>
                        </m:e>
                      </m:mr>
                      <m:mr>
                        <m:e>
                          <m:m>
                            <m:mPr>
                              <m:mcs>
                                <m:mc>
                                  <m:mcPr>
                                    <m:count m:val="1"/>
                                    <m:mcJc m:val="center"/>
                                  </m:mcPr>
                                </m:mc>
                              </m:mcs>
                              <m:ctrlPr>
                                <w:rPr>
                                  <w:rFonts w:ascii="Cambria Math" w:hAnsi="Cambria Math"/>
                                  <w:i/>
                                </w:rPr>
                              </m:ctrlPr>
                            </m:mPr>
                            <m:mr>
                              <m:e>
                                <m:r>
                                  <w:rPr>
                                    <w:rFonts w:ascii="Cambria Math" w:hAnsi="Cambria Math"/>
                                  </w:rPr>
                                  <m:t>6,24,48</m:t>
                                </m:r>
                              </m:e>
                            </m:mr>
                            <m:mr>
                              <m:e>
                                <m:r>
                                  <w:rPr>
                                    <w:rFonts w:ascii="Cambria Math" w:hAnsi="Cambria Math"/>
                                  </w:rPr>
                                  <m:t>4,8,12</m:t>
                                </m:r>
                              </m:e>
                            </m:mr>
                          </m:m>
                        </m:e>
                      </m:mr>
                    </m:m>
                  </m:e>
                </m:mr>
              </m:m>
            </m:e>
          </m:d>
        </m:oMath>
      </m:oMathPara>
    </w:p>
    <w:p w:rsidR="00FA7FA4" w:rsidRPr="00FA7FA4" w:rsidRDefault="00FA7FA4" w:rsidP="00FA7FA4"/>
    <w:p w:rsidR="008500F5" w:rsidRDefault="00FA7FA4" w:rsidP="000326AC">
      <w:pPr>
        <w:ind w:firstLine="360"/>
        <w:jc w:val="both"/>
      </w:pPr>
      <w:r>
        <w:t xml:space="preserve">The resulting design space contains </w:t>
      </w:r>
      <w:r w:rsidR="00F54123" w:rsidRPr="00F54123">
        <w:t>13</w:t>
      </w:r>
      <w:r w:rsidR="00F54123">
        <w:t>,</w:t>
      </w:r>
      <w:r w:rsidR="00F54123" w:rsidRPr="00F54123">
        <w:t>685</w:t>
      </w:r>
      <w:r w:rsidR="00F54123">
        <w:t>,</w:t>
      </w:r>
      <w:r w:rsidR="00F54123" w:rsidRPr="00F54123">
        <w:t>760</w:t>
      </w:r>
      <w:r>
        <w:t xml:space="preserve"> points.  Each execution of the </w:t>
      </w:r>
      <w:r w:rsidR="00AA07BB">
        <w:t xml:space="preserve">model requires roughly </w:t>
      </w:r>
      <w:r w:rsidR="00E41350">
        <w:t>one</w:t>
      </w:r>
      <w:r w:rsidR="00AA07BB">
        <w:t xml:space="preserve"> second to </w:t>
      </w:r>
      <w:r w:rsidR="00E41350">
        <w:t>complete</w:t>
      </w:r>
      <w:r w:rsidR="00AA07BB">
        <w:t xml:space="preserve">. Therefore, evaluating the entire design space would require </w:t>
      </w:r>
      <w:r w:rsidR="00F54123">
        <w:t>3801</w:t>
      </w:r>
      <w:bookmarkStart w:id="0" w:name="_GoBack"/>
      <w:bookmarkEnd w:id="0"/>
      <w:r w:rsidR="00AA07BB">
        <w:t xml:space="preserve"> hours of computation time which is beyond the capabilities of this research effort.</w:t>
      </w:r>
      <w:r w:rsidR="00111338">
        <w:t xml:space="preserve">  A Design of Experiments (DOE) is necessary to develop a </w:t>
      </w:r>
      <w:r w:rsidR="008500F5">
        <w:t>rough impression of the design space. Using the knowledge obtained from this initial DOE a variety of actions may be taken before applying the optimization code:</w:t>
      </w:r>
    </w:p>
    <w:p w:rsidR="008500F5" w:rsidRDefault="008500F5" w:rsidP="000326AC">
      <w:pPr>
        <w:pStyle w:val="ListParagraph"/>
        <w:numPr>
          <w:ilvl w:val="0"/>
          <w:numId w:val="1"/>
        </w:numPr>
        <w:jc w:val="both"/>
      </w:pPr>
      <w:r>
        <w:t>Some factors or levels may be disregarded to simplify the design space</w:t>
      </w:r>
    </w:p>
    <w:p w:rsidR="008500F5" w:rsidRDefault="008500F5" w:rsidP="000326AC">
      <w:pPr>
        <w:pStyle w:val="ListParagraph"/>
        <w:numPr>
          <w:ilvl w:val="0"/>
          <w:numId w:val="1"/>
        </w:numPr>
        <w:jc w:val="both"/>
      </w:pPr>
      <w:r>
        <w:t xml:space="preserve">The relative sensitivity of the objectives to the factors may be assessed </w:t>
      </w:r>
    </w:p>
    <w:p w:rsidR="008500F5" w:rsidRDefault="008500F5" w:rsidP="000326AC">
      <w:pPr>
        <w:pStyle w:val="ListParagraph"/>
        <w:numPr>
          <w:ilvl w:val="0"/>
          <w:numId w:val="1"/>
        </w:numPr>
        <w:jc w:val="both"/>
      </w:pPr>
      <w:r>
        <w:t>A promising initial start point may be identified for the optimizer</w:t>
      </w:r>
    </w:p>
    <w:p w:rsidR="008500F5" w:rsidRDefault="008500F5" w:rsidP="000326AC">
      <w:pPr>
        <w:pStyle w:val="ListParagraph"/>
        <w:numPr>
          <w:ilvl w:val="0"/>
          <w:numId w:val="1"/>
        </w:numPr>
        <w:jc w:val="both"/>
      </w:pPr>
      <w:r>
        <w:t xml:space="preserve">Potential local minima may be flagged to inform confirmation or rejection of the optimizer solutions </w:t>
      </w:r>
    </w:p>
    <w:p w:rsidR="00E80667" w:rsidRDefault="00AA07BB" w:rsidP="000326AC">
      <w:pPr>
        <w:ind w:firstLine="360"/>
        <w:jc w:val="both"/>
      </w:pPr>
      <w:r>
        <w:t xml:space="preserve">Rather than conducting </w:t>
      </w:r>
      <w:r w:rsidR="00E41350">
        <w:t>a DOE</w:t>
      </w:r>
      <w:r>
        <w:t xml:space="preserve"> on the entire design space</w:t>
      </w:r>
      <w:r w:rsidR="00E41350">
        <w:t xml:space="preserve"> of </w:t>
      </w:r>
      <w:r w:rsidR="000326AC">
        <w:t>six</w:t>
      </w:r>
      <w:r w:rsidR="00E41350">
        <w:t xml:space="preserve"> factors </w:t>
      </w:r>
      <w:r w:rsidR="000326AC">
        <w:t>and</w:t>
      </w:r>
      <w:r w:rsidR="00E41350">
        <w:t xml:space="preserve"> all their levels</w:t>
      </w:r>
      <w:r>
        <w:t xml:space="preserve">, our team concluded that the most effective way to </w:t>
      </w:r>
      <w:r w:rsidR="00E41350">
        <w:t xml:space="preserve">reduce the complexity of the design space was to significantly reduce the number of levels in the “mission architecture” factor and understand the impacts of the </w:t>
      </w:r>
      <w:r w:rsidR="000326AC">
        <w:t>three</w:t>
      </w:r>
      <w:r w:rsidR="00E41350">
        <w:t xml:space="preserve"> </w:t>
      </w:r>
      <w:r w:rsidR="000326AC">
        <w:t>technology development</w:t>
      </w:r>
      <w:r w:rsidR="00E41350">
        <w:t xml:space="preserve"> factors</w:t>
      </w:r>
      <w:r w:rsidR="000326AC">
        <w:t>: LH</w:t>
      </w:r>
      <w:r w:rsidR="000326AC">
        <w:rPr>
          <w:vertAlign w:val="subscript"/>
        </w:rPr>
        <w:t>2</w:t>
      </w:r>
      <w:r w:rsidR="000326AC">
        <w:t xml:space="preserve"> </w:t>
      </w:r>
      <w:proofErr w:type="spellStart"/>
      <w:r w:rsidR="000326AC">
        <w:t>Isp</w:t>
      </w:r>
      <w:proofErr w:type="spellEnd"/>
      <w:r w:rsidR="000326AC">
        <w:t xml:space="preserve">, NTR </w:t>
      </w:r>
      <w:proofErr w:type="spellStart"/>
      <w:r w:rsidR="000326AC">
        <w:t>Isp</w:t>
      </w:r>
      <w:proofErr w:type="spellEnd"/>
      <w:r w:rsidR="000326AC">
        <w:t>, and ISRU efficiency</w:t>
      </w:r>
      <w:r w:rsidR="00E41350">
        <w:t>. The crew factors are expected to be especially impactful on the design and may not be appropriate as design variables, but rather as parameters for three different size missions; the consideration of the crew sizes is under further consideration in the group</w:t>
      </w:r>
      <w:r w:rsidR="000326AC">
        <w:t xml:space="preserve"> and were neglected in this initial DOE.</w:t>
      </w:r>
      <w:r w:rsidR="00E41350">
        <w:t xml:space="preserve"> </w:t>
      </w:r>
    </w:p>
    <w:p w:rsidR="00E41350" w:rsidRDefault="00E41350" w:rsidP="000326AC">
      <w:pPr>
        <w:ind w:firstLine="360"/>
        <w:jc w:val="both"/>
      </w:pPr>
      <w:r>
        <w:t>As a result, a full factorial DOE</w:t>
      </w:r>
      <w:r w:rsidR="000326AC">
        <w:t xml:space="preserve"> (10560 points)</w:t>
      </w:r>
      <w:r>
        <w:t xml:space="preserve"> was conducted for the mission architecture factor using the nominal levels for the other design variables as provided by the DRA-5 and previously used by the SDM term project. Figure 1 displays the resulting design space of </w:t>
      </w:r>
      <w:r w:rsidR="00473B4F">
        <w:t>infrastructure</w:t>
      </w:r>
      <w:r>
        <w:t xml:space="preserve"> setup mass (kg) versus resupply IMLEO mass (kg) for each of the mission </w:t>
      </w:r>
      <w:r w:rsidR="00473B4F">
        <w:t>architectures</w:t>
      </w:r>
      <w:r>
        <w:t xml:space="preserve">, color coded by the </w:t>
      </w:r>
      <w:r w:rsidR="00473B4F">
        <w:t xml:space="preserve">type of ISRU utilized.  The infrastructure setup mass represents the initial effort of our team to capture the development cost of the program, one of our objectives, while the IMLEO resupply mass captures the resupply costs of the program, the second of our objectives. The </w:t>
      </w:r>
      <w:proofErr w:type="spellStart"/>
      <w:proofErr w:type="gramStart"/>
      <w:r w:rsidR="00473B4F">
        <w:t>pareto</w:t>
      </w:r>
      <w:proofErr w:type="spellEnd"/>
      <w:proofErr w:type="gramEnd"/>
      <w:r w:rsidR="00473B4F">
        <w:t xml:space="preserve"> frontier extends along the left </w:t>
      </w:r>
      <w:r w:rsidR="00473B4F">
        <w:lastRenderedPageBreak/>
        <w:t xml:space="preserve">and bottom edge of the design space indicating architectures that are efficient in terms of these two objective functions, being most efficient in the direction of the golden arrow. </w:t>
      </w:r>
    </w:p>
    <w:p w:rsidR="00473B4F" w:rsidRDefault="00473B4F" w:rsidP="00473B4F">
      <w:pPr>
        <w:keepNext/>
        <w:spacing w:after="0"/>
      </w:pPr>
      <w:r w:rsidRPr="00473B4F">
        <w:rPr>
          <w:noProof/>
        </w:rPr>
        <mc:AlternateContent>
          <mc:Choice Requires="wps">
            <w:drawing>
              <wp:anchor distT="0" distB="0" distL="114300" distR="114300" simplePos="0" relativeHeight="251659264" behindDoc="0" locked="0" layoutInCell="1" allowOverlap="1" wp14:anchorId="74BE2DD3" wp14:editId="3EF0FD06">
                <wp:simplePos x="0" y="0"/>
                <wp:positionH relativeFrom="column">
                  <wp:posOffset>491490</wp:posOffset>
                </wp:positionH>
                <wp:positionV relativeFrom="paragraph">
                  <wp:posOffset>2138045</wp:posOffset>
                </wp:positionV>
                <wp:extent cx="432435" cy="405130"/>
                <wp:effectExtent l="57150" t="38100" r="43815" b="90170"/>
                <wp:wrapNone/>
                <wp:docPr id="46" name="Straight Arrow Connector 45"/>
                <wp:cNvGraphicFramePr/>
                <a:graphic xmlns:a="http://schemas.openxmlformats.org/drawingml/2006/main">
                  <a:graphicData uri="http://schemas.microsoft.com/office/word/2010/wordprocessingShape">
                    <wps:wsp>
                      <wps:cNvCnPr/>
                      <wps:spPr>
                        <a:xfrm flipH="1">
                          <a:off x="0" y="0"/>
                          <a:ext cx="432435" cy="4051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EAD47A" id="_x0000_t32" coordsize="21600,21600" o:spt="32" o:oned="t" path="m,l21600,21600e" filled="f">
                <v:path arrowok="t" fillok="f" o:connecttype="none"/>
                <o:lock v:ext="edit" shapetype="t"/>
              </v:shapetype>
              <v:shape id="Straight Arrow Connector 45" o:spid="_x0000_s1026" type="#_x0000_t32" style="position:absolute;margin-left:38.7pt;margin-top:168.35pt;width:34.05pt;height:31.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" strokecolor="#f79646 [3209]" strokeweight="3pt">
                <v:stroke endarrow="block"/>
                <v:shadow on="t" color="black" opacity="22937f" origin=",.5" offset="0,.63889mm"/>
              </v:shape>
            </w:pict>
          </mc:Fallback>
        </mc:AlternateContent>
      </w:r>
      <w:r w:rsidRPr="00473B4F">
        <w:rPr>
          <w:noProof/>
        </w:rPr>
        <w:drawing>
          <wp:inline distT="0" distB="0" distL="0" distR="0" wp14:anchorId="3E27B54F" wp14:editId="14636148">
            <wp:extent cx="6145886" cy="2933136"/>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6156879" cy="2938383"/>
                    </a:xfrm>
                    <a:prstGeom prst="rect">
                      <a:avLst/>
                    </a:prstGeom>
                    <a:ln>
                      <a:noFill/>
                    </a:ln>
                    <a:extLst>
                      <a:ext uri="{53640926-AAD7-44D8-BBD7-CCE9431645EC}">
                        <a14:shadowObscured xmlns:a14="http://schemas.microsoft.com/office/drawing/2010/main"/>
                      </a:ext>
                    </a:extLst>
                  </pic:spPr>
                </pic:pic>
              </a:graphicData>
            </a:graphic>
          </wp:inline>
        </w:drawing>
      </w:r>
    </w:p>
    <w:p w:rsidR="00FA7FA4"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1</w:t>
      </w:r>
      <w:r w:rsidRPr="00473B4F">
        <w:rPr>
          <w:b w:val="0"/>
          <w:color w:val="auto"/>
          <w:sz w:val="22"/>
        </w:rPr>
        <w:fldChar w:fldCharType="end"/>
      </w:r>
      <w:r w:rsidRPr="00473B4F">
        <w:rPr>
          <w:b w:val="0"/>
          <w:color w:val="auto"/>
          <w:sz w:val="22"/>
        </w:rPr>
        <w:t xml:space="preserve">. Infrastructure </w:t>
      </w:r>
      <w:r w:rsidR="00AA6A88">
        <w:rPr>
          <w:b w:val="0"/>
          <w:color w:val="auto"/>
          <w:sz w:val="22"/>
        </w:rPr>
        <w:t>s</w:t>
      </w:r>
      <w:r w:rsidRPr="00473B4F">
        <w:rPr>
          <w:b w:val="0"/>
          <w:color w:val="auto"/>
          <w:sz w:val="22"/>
        </w:rPr>
        <w:t xml:space="preserve">etup </w:t>
      </w:r>
      <w:r w:rsidR="00AA6A88">
        <w:rPr>
          <w:b w:val="0"/>
          <w:color w:val="auto"/>
          <w:sz w:val="22"/>
        </w:rPr>
        <w:t>m</w:t>
      </w:r>
      <w:r w:rsidRPr="00473B4F">
        <w:rPr>
          <w:b w:val="0"/>
          <w:color w:val="auto"/>
          <w:sz w:val="22"/>
        </w:rPr>
        <w:t xml:space="preserve">ass versus </w:t>
      </w:r>
      <w:r w:rsidR="00AA6A88">
        <w:rPr>
          <w:b w:val="0"/>
          <w:color w:val="auto"/>
          <w:sz w:val="22"/>
        </w:rPr>
        <w:t>r</w:t>
      </w:r>
      <w:r w:rsidRPr="00473B4F">
        <w:rPr>
          <w:b w:val="0"/>
          <w:color w:val="auto"/>
          <w:sz w:val="22"/>
        </w:rPr>
        <w:t>esupply IMLEO costs</w:t>
      </w:r>
      <w:r w:rsidR="00AA6A88">
        <w:rPr>
          <w:b w:val="0"/>
          <w:color w:val="auto"/>
          <w:sz w:val="22"/>
        </w:rPr>
        <w:t>.</w:t>
      </w:r>
    </w:p>
    <w:p w:rsidR="00FA7FA4" w:rsidRDefault="00473B4F" w:rsidP="000326AC">
      <w:pPr>
        <w:tabs>
          <w:tab w:val="left" w:pos="3750"/>
        </w:tabs>
        <w:ind w:firstLine="360"/>
        <w:jc w:val="both"/>
      </w:pPr>
      <w:r>
        <w:t xml:space="preserve">Figure 2 displays the design space for the science value of the missions versus the resupply IMLEO costs. The science value of the mission is our </w:t>
      </w:r>
      <w:r w:rsidR="00AA6A88">
        <w:t>team’s</w:t>
      </w:r>
      <w:r>
        <w:t xml:space="preserve"> first attempt to capture the utility of the mission, our third and final objective function.  The </w:t>
      </w:r>
      <w:proofErr w:type="spellStart"/>
      <w:proofErr w:type="gramStart"/>
      <w:r>
        <w:t>pareto</w:t>
      </w:r>
      <w:proofErr w:type="spellEnd"/>
      <w:proofErr w:type="gramEnd"/>
      <w:r>
        <w:t xml:space="preserve"> frontier extends along the bottom and rights sides of the design space indicating architectures that are efficient in terms of these two objective functions, being most efficient in the direction of the golden arrow.</w:t>
      </w:r>
    </w:p>
    <w:p w:rsidR="00473B4F" w:rsidRDefault="00CE12A6" w:rsidP="00473B4F">
      <w:pPr>
        <w:keepNext/>
        <w:tabs>
          <w:tab w:val="left" w:pos="3750"/>
        </w:tabs>
        <w:spacing w:after="0"/>
      </w:pPr>
      <w:r w:rsidRPr="00473B4F">
        <w:rPr>
          <w:noProof/>
        </w:rPr>
        <mc:AlternateContent>
          <mc:Choice Requires="wps">
            <w:drawing>
              <wp:anchor distT="0" distB="0" distL="114300" distR="114300" simplePos="0" relativeHeight="251661312" behindDoc="0" locked="0" layoutInCell="1" allowOverlap="1" wp14:anchorId="5F6DAE33" wp14:editId="0DC0CB99">
                <wp:simplePos x="0" y="0"/>
                <wp:positionH relativeFrom="column">
                  <wp:posOffset>5581650</wp:posOffset>
                </wp:positionH>
                <wp:positionV relativeFrom="paragraph">
                  <wp:posOffset>2459990</wp:posOffset>
                </wp:positionV>
                <wp:extent cx="361951" cy="319405"/>
                <wp:effectExtent l="57150" t="38100" r="76200" b="80645"/>
                <wp:wrapNone/>
                <wp:docPr id="3" name="Straight Arrow Connector 45"/>
                <wp:cNvGraphicFramePr/>
                <a:graphic xmlns:a="http://schemas.openxmlformats.org/drawingml/2006/main">
                  <a:graphicData uri="http://schemas.microsoft.com/office/word/2010/wordprocessingShape">
                    <wps:wsp>
                      <wps:cNvCnPr/>
                      <wps:spPr>
                        <a:xfrm>
                          <a:off x="0" y="0"/>
                          <a:ext cx="361951" cy="31940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FD82E" id="Straight Arrow Connector 45" o:spid="_x0000_s1026" type="#_x0000_t32" style="position:absolute;margin-left:439.5pt;margin-top:193.7pt;width:28.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" strokecolor="#f79646 [3209]" strokeweight="3pt">
                <v:stroke endarrow="block"/>
                <v:shadow on="t" color="black" opacity="22937f" origin=",.5" offset="0,.63889mm"/>
              </v:shape>
            </w:pict>
          </mc:Fallback>
        </mc:AlternateContent>
      </w:r>
      <w:r w:rsidR="00473B4F" w:rsidRPr="00473B4F">
        <w:rPr>
          <w:noProof/>
        </w:rPr>
        <w:drawing>
          <wp:inline distT="0" distB="0" distL="0" distR="0" wp14:anchorId="793504C7" wp14:editId="0205424E">
            <wp:extent cx="6147486" cy="304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0705" t="3967" r="8744" b="5716"/>
                    <a:stretch/>
                  </pic:blipFill>
                  <pic:spPr bwMode="auto">
                    <a:xfrm>
                      <a:off x="0" y="0"/>
                      <a:ext cx="6147486" cy="3048000"/>
                    </a:xfrm>
                    <a:prstGeom prst="rect">
                      <a:avLst/>
                    </a:prstGeom>
                    <a:ln>
                      <a:noFill/>
                    </a:ln>
                    <a:extLst>
                      <a:ext uri="{53640926-AAD7-44D8-BBD7-CCE9431645EC}">
                        <a14:shadowObscured xmlns:a14="http://schemas.microsoft.com/office/drawing/2010/main"/>
                      </a:ext>
                    </a:extLst>
                  </pic:spPr>
                </pic:pic>
              </a:graphicData>
            </a:graphic>
          </wp:inline>
        </w:drawing>
      </w:r>
    </w:p>
    <w:p w:rsidR="00473B4F"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2</w:t>
      </w:r>
      <w:r w:rsidRPr="00473B4F">
        <w:rPr>
          <w:b w:val="0"/>
          <w:color w:val="auto"/>
          <w:sz w:val="22"/>
        </w:rPr>
        <w:fldChar w:fldCharType="end"/>
      </w:r>
      <w:r w:rsidRPr="00473B4F">
        <w:rPr>
          <w:b w:val="0"/>
          <w:color w:val="auto"/>
          <w:sz w:val="22"/>
        </w:rPr>
        <w:t xml:space="preserve">. Mission </w:t>
      </w:r>
      <w:r w:rsidR="00B9416F">
        <w:rPr>
          <w:b w:val="0"/>
          <w:color w:val="auto"/>
          <w:sz w:val="22"/>
        </w:rPr>
        <w:t>s</w:t>
      </w:r>
      <w:r w:rsidRPr="00473B4F">
        <w:rPr>
          <w:b w:val="0"/>
          <w:color w:val="auto"/>
          <w:sz w:val="22"/>
        </w:rPr>
        <w:t xml:space="preserve">cience </w:t>
      </w:r>
      <w:r w:rsidR="00B9416F">
        <w:rPr>
          <w:b w:val="0"/>
          <w:color w:val="auto"/>
          <w:sz w:val="22"/>
        </w:rPr>
        <w:t>v</w:t>
      </w:r>
      <w:r w:rsidRPr="00473B4F">
        <w:rPr>
          <w:b w:val="0"/>
          <w:color w:val="auto"/>
          <w:sz w:val="22"/>
        </w:rPr>
        <w:t xml:space="preserve">alue versus </w:t>
      </w:r>
      <w:r w:rsidR="00B9416F">
        <w:rPr>
          <w:b w:val="0"/>
          <w:color w:val="auto"/>
          <w:sz w:val="22"/>
        </w:rPr>
        <w:t>r</w:t>
      </w:r>
      <w:r w:rsidRPr="00473B4F">
        <w:rPr>
          <w:b w:val="0"/>
          <w:color w:val="auto"/>
          <w:sz w:val="22"/>
        </w:rPr>
        <w:t>esupply IMLEO costs</w:t>
      </w:r>
      <w:r w:rsidR="00B9416F">
        <w:rPr>
          <w:b w:val="0"/>
          <w:color w:val="auto"/>
          <w:sz w:val="22"/>
        </w:rPr>
        <w:t>.</w:t>
      </w:r>
    </w:p>
    <w:p w:rsidR="00473B4F" w:rsidRDefault="00CE12A6" w:rsidP="000326AC">
      <w:pPr>
        <w:pStyle w:val="Caption"/>
        <w:spacing w:line="276" w:lineRule="auto"/>
        <w:jc w:val="both"/>
        <w:rPr>
          <w:b w:val="0"/>
          <w:color w:val="auto"/>
          <w:sz w:val="22"/>
        </w:rPr>
      </w:pPr>
      <w:r>
        <w:rPr>
          <w:b w:val="0"/>
          <w:color w:val="auto"/>
          <w:sz w:val="22"/>
        </w:rPr>
        <w:lastRenderedPageBreak/>
        <w:tab/>
        <w:t xml:space="preserve">Finally, </w:t>
      </w:r>
      <w:r w:rsidR="00E474D7">
        <w:rPr>
          <w:b w:val="0"/>
          <w:color w:val="auto"/>
          <w:sz w:val="22"/>
        </w:rPr>
        <w:t xml:space="preserve">three promising mission architectures from the </w:t>
      </w:r>
      <w:proofErr w:type="spellStart"/>
      <w:proofErr w:type="gramStart"/>
      <w:r w:rsidR="00E474D7">
        <w:rPr>
          <w:b w:val="0"/>
          <w:color w:val="auto"/>
          <w:sz w:val="22"/>
        </w:rPr>
        <w:t>pareto</w:t>
      </w:r>
      <w:proofErr w:type="spellEnd"/>
      <w:proofErr w:type="gramEnd"/>
      <w:r w:rsidR="00E474D7">
        <w:rPr>
          <w:b w:val="0"/>
          <w:color w:val="auto"/>
          <w:sz w:val="22"/>
        </w:rPr>
        <w:t xml:space="preserve"> frontier of Figure 2 were extracted and a new DOE was conducted with simplified levels from the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E474D7">
        <w:rPr>
          <w:b w:val="0"/>
          <w:color w:val="auto"/>
          <w:sz w:val="22"/>
        </w:rPr>
        <w:t xml:space="preserve"> factors. Figure 3 displays the result of this second DOE suggesting that the IMLEO resupply mass is highly sensitive to both improved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B9416F">
        <w:rPr>
          <w:b w:val="0"/>
          <w:color w:val="auto"/>
          <w:sz w:val="22"/>
        </w:rPr>
        <w:t>, depending upon the level of Lunar ISRU in the mission architecture</w:t>
      </w:r>
      <w:r w:rsidR="00E474D7">
        <w:rPr>
          <w:b w:val="0"/>
          <w:color w:val="auto"/>
          <w:sz w:val="22"/>
        </w:rPr>
        <w:t>; this supports the further investigation of these factors</w:t>
      </w:r>
      <w:r w:rsidR="00B9416F">
        <w:rPr>
          <w:b w:val="0"/>
          <w:color w:val="auto"/>
          <w:sz w:val="22"/>
        </w:rPr>
        <w:t xml:space="preserve"> through this research. </w:t>
      </w:r>
    </w:p>
    <w:p w:rsidR="00B9416F" w:rsidRDefault="00E474D7" w:rsidP="00B9416F">
      <w:pPr>
        <w:keepNext/>
        <w:spacing w:after="0"/>
      </w:pPr>
      <w:r>
        <w:rPr>
          <w:noProof/>
        </w:rPr>
        <w:drawing>
          <wp:inline distT="0" distB="0" distL="0" distR="0" wp14:anchorId="7D517542" wp14:editId="390C4F3A">
            <wp:extent cx="5914337"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16185" cy="6040737"/>
                    </a:xfrm>
                    <a:prstGeom prst="rect">
                      <a:avLst/>
                    </a:prstGeom>
                    <a:ln>
                      <a:noFill/>
                    </a:ln>
                    <a:extLst>
                      <a:ext uri="{53640926-AAD7-44D8-BBD7-CCE9431645EC}">
                        <a14:shadowObscured xmlns:a14="http://schemas.microsoft.com/office/drawing/2010/main"/>
                      </a:ext>
                    </a:extLst>
                  </pic:spPr>
                </pic:pic>
              </a:graphicData>
            </a:graphic>
          </wp:inline>
        </w:drawing>
      </w:r>
    </w:p>
    <w:p w:rsidR="00E474D7" w:rsidRDefault="00B9416F" w:rsidP="00B9416F">
      <w:pPr>
        <w:pStyle w:val="Caption"/>
        <w:jc w:val="center"/>
        <w:rPr>
          <w:b w:val="0"/>
          <w:color w:val="auto"/>
          <w:sz w:val="22"/>
        </w:rPr>
      </w:pPr>
      <w:r w:rsidRPr="00B9416F">
        <w:rPr>
          <w:b w:val="0"/>
          <w:color w:val="auto"/>
          <w:sz w:val="22"/>
        </w:rPr>
        <w:t xml:space="preserve">Figure </w:t>
      </w:r>
      <w:r w:rsidRPr="00B9416F">
        <w:rPr>
          <w:b w:val="0"/>
          <w:color w:val="auto"/>
          <w:sz w:val="22"/>
        </w:rPr>
        <w:fldChar w:fldCharType="begin"/>
      </w:r>
      <w:r w:rsidRPr="00B9416F">
        <w:rPr>
          <w:b w:val="0"/>
          <w:color w:val="auto"/>
          <w:sz w:val="22"/>
        </w:rPr>
        <w:instrText xml:space="preserve"> SEQ Figure \* ARABIC </w:instrText>
      </w:r>
      <w:r w:rsidRPr="00B9416F">
        <w:rPr>
          <w:b w:val="0"/>
          <w:color w:val="auto"/>
          <w:sz w:val="22"/>
        </w:rPr>
        <w:fldChar w:fldCharType="separate"/>
      </w:r>
      <w:r w:rsidRPr="00B9416F">
        <w:rPr>
          <w:b w:val="0"/>
          <w:noProof/>
          <w:color w:val="auto"/>
          <w:sz w:val="22"/>
        </w:rPr>
        <w:t>3</w:t>
      </w:r>
      <w:r w:rsidRPr="00B9416F">
        <w:rPr>
          <w:b w:val="0"/>
          <w:color w:val="auto"/>
          <w:sz w:val="22"/>
        </w:rPr>
        <w:fldChar w:fldCharType="end"/>
      </w:r>
      <w:r w:rsidRPr="00B9416F">
        <w:rPr>
          <w:b w:val="0"/>
          <w:color w:val="auto"/>
          <w:sz w:val="22"/>
        </w:rPr>
        <w:t xml:space="preserve">. Sensitivity of </w:t>
      </w:r>
      <w:r>
        <w:rPr>
          <w:b w:val="0"/>
          <w:color w:val="auto"/>
          <w:sz w:val="22"/>
        </w:rPr>
        <w:t>r</w:t>
      </w:r>
      <w:r w:rsidRPr="00B9416F">
        <w:rPr>
          <w:b w:val="0"/>
          <w:color w:val="auto"/>
          <w:sz w:val="22"/>
        </w:rPr>
        <w:t xml:space="preserve">esupply IMLEO </w:t>
      </w:r>
      <w:r>
        <w:rPr>
          <w:b w:val="0"/>
          <w:color w:val="auto"/>
          <w:sz w:val="22"/>
        </w:rPr>
        <w:t>c</w:t>
      </w:r>
      <w:r w:rsidRPr="00B9416F">
        <w:rPr>
          <w:b w:val="0"/>
          <w:color w:val="auto"/>
          <w:sz w:val="22"/>
        </w:rPr>
        <w:t xml:space="preserve">osts to </w:t>
      </w:r>
      <w:proofErr w:type="spellStart"/>
      <w:proofErr w:type="gramStart"/>
      <w:r w:rsidRPr="00B9416F">
        <w:rPr>
          <w:b w:val="0"/>
          <w:color w:val="auto"/>
          <w:sz w:val="22"/>
        </w:rPr>
        <w:t>Isp</w:t>
      </w:r>
      <w:proofErr w:type="spellEnd"/>
      <w:proofErr w:type="gramEnd"/>
      <w:r w:rsidRPr="00B9416F">
        <w:rPr>
          <w:b w:val="0"/>
          <w:color w:val="auto"/>
          <w:sz w:val="22"/>
        </w:rPr>
        <w:t xml:space="preserve"> </w:t>
      </w:r>
      <w:r>
        <w:rPr>
          <w:b w:val="0"/>
          <w:color w:val="auto"/>
          <w:sz w:val="22"/>
        </w:rPr>
        <w:t>v</w:t>
      </w:r>
      <w:r w:rsidRPr="00B9416F">
        <w:rPr>
          <w:b w:val="0"/>
          <w:color w:val="auto"/>
          <w:sz w:val="22"/>
        </w:rPr>
        <w:t>ariations in LH2 and NTR propulsion</w:t>
      </w:r>
      <w:r>
        <w:rPr>
          <w:b w:val="0"/>
          <w:color w:val="auto"/>
          <w:sz w:val="22"/>
        </w:rPr>
        <w:t>.</w:t>
      </w:r>
    </w:p>
    <w:p w:rsidR="000326AC" w:rsidRDefault="000326AC" w:rsidP="000326AC">
      <w:pPr>
        <w:ind w:firstLine="360"/>
        <w:jc w:val="both"/>
      </w:pPr>
    </w:p>
    <w:p w:rsidR="000326AC" w:rsidRDefault="000326AC" w:rsidP="000326AC">
      <w:pPr>
        <w:ind w:firstLine="360"/>
        <w:jc w:val="both"/>
      </w:pPr>
    </w:p>
    <w:p w:rsidR="00DA2959" w:rsidRDefault="00DA2959" w:rsidP="000326AC">
      <w:pPr>
        <w:ind w:firstLine="360"/>
        <w:jc w:val="both"/>
      </w:pPr>
      <w:r>
        <w:lastRenderedPageBreak/>
        <w:t xml:space="preserve">Based upon this initial DOE, an initial starting point for the optimizer may be determined by selecting a mission architecture that lies on or near the </w:t>
      </w:r>
      <w:proofErr w:type="spellStart"/>
      <w:proofErr w:type="gramStart"/>
      <w:r>
        <w:t>pareto</w:t>
      </w:r>
      <w:proofErr w:type="spellEnd"/>
      <w:proofErr w:type="gramEnd"/>
      <w:r>
        <w:t xml:space="preserve"> frontier “knee” point in Figures 1 &amp; 2. Reviewing the figures, architecture #1400 was selected as the starting point.</w:t>
      </w:r>
    </w:p>
    <w:p w:rsidR="00DA2959" w:rsidRDefault="00DA2959" w:rsidP="000326AC">
      <w:pPr>
        <w:ind w:firstLine="360"/>
        <w:jc w:val="both"/>
      </w:pPr>
      <w:r>
        <w:t xml:space="preserve">For the </w:t>
      </w:r>
      <w:proofErr w:type="spellStart"/>
      <w:r>
        <w:t>Isp</w:t>
      </w:r>
      <w:proofErr w:type="spellEnd"/>
      <w:r>
        <w:t xml:space="preserve"> and ISRU efficiency factors, is appears that enhanced </w:t>
      </w:r>
      <w:proofErr w:type="spellStart"/>
      <w:r>
        <w:t>Isp’s</w:t>
      </w:r>
      <w:proofErr w:type="spellEnd"/>
      <w:r>
        <w:t xml:space="preserve"> provide clear IMLEO benefits, but potential high developmental costs as suggested in the appendix. Therefore the starting point will use ISRU efficiency and </w:t>
      </w:r>
      <w:proofErr w:type="spellStart"/>
      <w:proofErr w:type="gramStart"/>
      <w:r>
        <w:t>Isp</w:t>
      </w:r>
      <w:proofErr w:type="spellEnd"/>
      <w:proofErr w:type="gramEnd"/>
      <w:r>
        <w:t xml:space="preserve"> levels that appear at the anticipated “knee” point in the development cost curves for the technology development. This corresponds to LH</w:t>
      </w:r>
      <w:r>
        <w:rPr>
          <w:vertAlign w:val="subscript"/>
        </w:rPr>
        <w:t>2</w:t>
      </w:r>
      <w:r>
        <w:t xml:space="preserve"> </w:t>
      </w:r>
      <w:proofErr w:type="spellStart"/>
      <w:r>
        <w:t>Isp</w:t>
      </w:r>
      <w:proofErr w:type="spellEnd"/>
      <w:r>
        <w:t xml:space="preserve"> = 465 s, NTR </w:t>
      </w:r>
      <w:proofErr w:type="spellStart"/>
      <w:r>
        <w:t>Isp</w:t>
      </w:r>
      <w:proofErr w:type="spellEnd"/>
      <w:r>
        <w:t xml:space="preserve"> = 950 s, </w:t>
      </w:r>
      <w:r w:rsidRPr="00804779">
        <w:t xml:space="preserve">and </w:t>
      </w:r>
      <w:proofErr w:type="spellStart"/>
      <w:r w:rsidRPr="00804779">
        <w:t>ε</w:t>
      </w:r>
      <w:r w:rsidRPr="00804779">
        <w:rPr>
          <w:vertAlign w:val="subscript"/>
        </w:rPr>
        <w:t>ISRU</w:t>
      </w:r>
      <w:proofErr w:type="spellEnd"/>
      <w:r w:rsidR="00804779" w:rsidRPr="00804779">
        <w:t xml:space="preserve"> = 10</w:t>
      </w:r>
      <w:r w:rsidRPr="00804779">
        <w:t>.</w:t>
      </w: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6C1A61" w:rsidRDefault="006C1A61" w:rsidP="006C1A61">
      <w:pPr>
        <w:jc w:val="both"/>
        <w:rPr>
          <w:b/>
          <w:sz w:val="32"/>
          <w:u w:val="single"/>
        </w:rPr>
      </w:pPr>
      <w:r w:rsidRPr="006C1A61">
        <w:rPr>
          <w:b/>
          <w:sz w:val="32"/>
          <w:u w:val="single"/>
        </w:rPr>
        <w:lastRenderedPageBreak/>
        <w:t>Appendix</w:t>
      </w:r>
    </w:p>
    <w:p w:rsidR="006C1A61" w:rsidRPr="00BC4BCC" w:rsidRDefault="006C1A61" w:rsidP="006C1A61">
      <w:pPr>
        <w:pStyle w:val="NoSpacing"/>
        <w:rPr>
          <w:b/>
          <w:i/>
          <w:sz w:val="24"/>
        </w:rPr>
      </w:pPr>
      <w:r w:rsidRPr="00BC4BCC">
        <w:rPr>
          <w:b/>
          <w:i/>
          <w:sz w:val="24"/>
        </w:rPr>
        <w:t>Liquid Hydrogen/Oxygen (LH</w:t>
      </w:r>
      <w:r w:rsidRPr="00BC4BCC">
        <w:rPr>
          <w:b/>
          <w:i/>
          <w:sz w:val="24"/>
          <w:vertAlign w:val="subscript"/>
        </w:rPr>
        <w:t>2</w:t>
      </w:r>
      <w:r w:rsidRPr="00BC4BCC">
        <w:rPr>
          <w:b/>
          <w:i/>
          <w:sz w:val="24"/>
        </w:rPr>
        <w:t xml:space="preserve">) </w:t>
      </w:r>
      <w:proofErr w:type="spellStart"/>
      <w:proofErr w:type="gramStart"/>
      <w:r w:rsidRPr="00BC4BCC">
        <w:rPr>
          <w:b/>
          <w:i/>
          <w:sz w:val="24"/>
        </w:rPr>
        <w:t>Isp</w:t>
      </w:r>
      <w:proofErr w:type="spellEnd"/>
      <w:proofErr w:type="gramEnd"/>
      <w:r w:rsidRPr="00BC4BCC">
        <w:rPr>
          <w:b/>
          <w:i/>
          <w:sz w:val="24"/>
        </w:rPr>
        <w:t xml:space="preserve"> Review</w:t>
      </w:r>
    </w:p>
    <w:p w:rsidR="006C1A61" w:rsidRDefault="006C1A61" w:rsidP="006C1A61">
      <w:pPr>
        <w:pStyle w:val="NoSpacing"/>
      </w:pPr>
    </w:p>
    <w:p w:rsidR="006C1A61" w:rsidRDefault="006C1A61" w:rsidP="006C1A61">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6C1A61" w:rsidTr="00AB5EAB">
        <w:tc>
          <w:tcPr>
            <w:tcW w:w="1924" w:type="dxa"/>
          </w:tcPr>
          <w:p w:rsidR="006C1A61" w:rsidRDefault="006C1A61" w:rsidP="00AB5EAB">
            <w:pPr>
              <w:pStyle w:val="NoSpacing"/>
            </w:pPr>
            <w:r>
              <w:t>Engine</w:t>
            </w:r>
          </w:p>
        </w:tc>
        <w:tc>
          <w:tcPr>
            <w:tcW w:w="1993" w:type="dxa"/>
          </w:tcPr>
          <w:p w:rsidR="006C1A61" w:rsidRDefault="006C1A61" w:rsidP="00AB5EAB">
            <w:pPr>
              <w:pStyle w:val="NoSpacing"/>
            </w:pPr>
            <w:proofErr w:type="spellStart"/>
            <w:r>
              <w:t>Isp</w:t>
            </w:r>
            <w:proofErr w:type="spellEnd"/>
            <w:r>
              <w:t xml:space="preserve"> (vacuum)</w:t>
            </w:r>
          </w:p>
        </w:tc>
        <w:tc>
          <w:tcPr>
            <w:tcW w:w="1959" w:type="dxa"/>
          </w:tcPr>
          <w:p w:rsidR="006C1A61" w:rsidRDefault="006C1A61" w:rsidP="00AB5EAB">
            <w:pPr>
              <w:pStyle w:val="NoSpacing"/>
            </w:pPr>
            <w:r>
              <w:t>Thrust</w:t>
            </w:r>
          </w:p>
        </w:tc>
        <w:tc>
          <w:tcPr>
            <w:tcW w:w="1252" w:type="dxa"/>
          </w:tcPr>
          <w:p w:rsidR="006C1A61" w:rsidRDefault="006C1A61" w:rsidP="00AB5EAB">
            <w:pPr>
              <w:pStyle w:val="NoSpacing"/>
            </w:pPr>
            <w:r>
              <w:t>Country</w:t>
            </w:r>
          </w:p>
        </w:tc>
        <w:tc>
          <w:tcPr>
            <w:tcW w:w="2430" w:type="dxa"/>
          </w:tcPr>
          <w:p w:rsidR="006C1A61" w:rsidRDefault="006C1A61" w:rsidP="00AB5EAB">
            <w:pPr>
              <w:pStyle w:val="NoSpacing"/>
            </w:pPr>
            <w:r>
              <w:t>First Flight/Last Fight</w:t>
            </w:r>
          </w:p>
        </w:tc>
      </w:tr>
      <w:tr w:rsidR="006C1A61" w:rsidTr="00AB5EAB">
        <w:tc>
          <w:tcPr>
            <w:tcW w:w="1924" w:type="dxa"/>
          </w:tcPr>
          <w:p w:rsidR="006C1A61" w:rsidRDefault="006C1A61" w:rsidP="00AB5EAB">
            <w:pPr>
              <w:pStyle w:val="NoSpacing"/>
            </w:pPr>
            <w:r>
              <w:t>Vinci</w:t>
            </w:r>
          </w:p>
        </w:tc>
        <w:tc>
          <w:tcPr>
            <w:tcW w:w="1993" w:type="dxa"/>
          </w:tcPr>
          <w:p w:rsidR="006C1A61" w:rsidRDefault="006C1A61" w:rsidP="00AB5EAB">
            <w:pPr>
              <w:pStyle w:val="NoSpacing"/>
            </w:pPr>
            <w:r>
              <w:t>465</w:t>
            </w:r>
          </w:p>
        </w:tc>
        <w:tc>
          <w:tcPr>
            <w:tcW w:w="1959" w:type="dxa"/>
          </w:tcPr>
          <w:p w:rsidR="006C1A61" w:rsidRDefault="006C1A61" w:rsidP="00AB5EAB">
            <w:pPr>
              <w:pStyle w:val="NoSpacing"/>
            </w:pPr>
            <w:r>
              <w:t>180,000 N</w:t>
            </w:r>
          </w:p>
        </w:tc>
        <w:tc>
          <w:tcPr>
            <w:tcW w:w="1252" w:type="dxa"/>
          </w:tcPr>
          <w:p w:rsidR="006C1A61" w:rsidRDefault="006C1A61" w:rsidP="00AB5EAB">
            <w:pPr>
              <w:pStyle w:val="NoSpacing"/>
            </w:pPr>
            <w:r>
              <w:t>Europe</w:t>
            </w:r>
          </w:p>
        </w:tc>
        <w:tc>
          <w:tcPr>
            <w:tcW w:w="2430" w:type="dxa"/>
          </w:tcPr>
          <w:p w:rsidR="006C1A61" w:rsidRDefault="006C1A61" w:rsidP="006C1A61">
            <w:pPr>
              <w:pStyle w:val="NoSpacing"/>
            </w:pPr>
            <w:r>
              <w:t>In Development</w:t>
            </w:r>
          </w:p>
        </w:tc>
      </w:tr>
      <w:tr w:rsidR="006C1A61" w:rsidTr="00AB5EAB">
        <w:tc>
          <w:tcPr>
            <w:tcW w:w="1924" w:type="dxa"/>
          </w:tcPr>
          <w:p w:rsidR="006C1A61" w:rsidRDefault="006C1A61" w:rsidP="00AB5EAB">
            <w:pPr>
              <w:pStyle w:val="NoSpacing"/>
            </w:pPr>
            <w:r w:rsidRPr="006C1A61">
              <w:t>RL-10B-2</w:t>
            </w:r>
          </w:p>
        </w:tc>
        <w:tc>
          <w:tcPr>
            <w:tcW w:w="1993" w:type="dxa"/>
          </w:tcPr>
          <w:p w:rsidR="006C1A61" w:rsidRDefault="006C1A61" w:rsidP="00AB5EAB">
            <w:pPr>
              <w:pStyle w:val="NoSpacing"/>
            </w:pPr>
            <w:r>
              <w:t>462</w:t>
            </w:r>
          </w:p>
        </w:tc>
        <w:tc>
          <w:tcPr>
            <w:tcW w:w="1959" w:type="dxa"/>
          </w:tcPr>
          <w:p w:rsidR="006C1A61" w:rsidRDefault="006C1A61" w:rsidP="00AB5EAB">
            <w:pPr>
              <w:pStyle w:val="NoSpacing"/>
            </w:pPr>
            <w:r>
              <w:t>109,890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SSME (RS-25)</w:t>
            </w:r>
          </w:p>
        </w:tc>
        <w:tc>
          <w:tcPr>
            <w:tcW w:w="1993" w:type="dxa"/>
          </w:tcPr>
          <w:p w:rsidR="006C1A61" w:rsidRDefault="006C1A61" w:rsidP="00AB5EAB">
            <w:pPr>
              <w:pStyle w:val="NoSpacing"/>
            </w:pPr>
            <w:r>
              <w:t>452</w:t>
            </w:r>
          </w:p>
        </w:tc>
        <w:tc>
          <w:tcPr>
            <w:tcW w:w="1959" w:type="dxa"/>
          </w:tcPr>
          <w:p w:rsidR="006C1A61" w:rsidRDefault="006C1A61" w:rsidP="00AB5EAB">
            <w:pPr>
              <w:pStyle w:val="NoSpacing"/>
            </w:pPr>
            <w:r>
              <w:t xml:space="preserve">2,279,000 </w:t>
            </w:r>
            <w:proofErr w:type="spellStart"/>
            <w:r>
              <w:t>lbs</w:t>
            </w:r>
            <w:proofErr w:type="spellEnd"/>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Inactive until STS</w:t>
            </w:r>
          </w:p>
        </w:tc>
      </w:tr>
      <w:tr w:rsidR="006C1A61" w:rsidTr="00AB5EAB">
        <w:tc>
          <w:tcPr>
            <w:tcW w:w="1924" w:type="dxa"/>
          </w:tcPr>
          <w:p w:rsidR="006C1A61" w:rsidRDefault="006C1A61" w:rsidP="00AB5EAB">
            <w:pPr>
              <w:pStyle w:val="NoSpacing"/>
            </w:pPr>
            <w:r>
              <w:t>RL-10A-4-2</w:t>
            </w:r>
          </w:p>
        </w:tc>
        <w:tc>
          <w:tcPr>
            <w:tcW w:w="1993" w:type="dxa"/>
          </w:tcPr>
          <w:p w:rsidR="006C1A61" w:rsidRDefault="006C1A61" w:rsidP="00AB5EAB">
            <w:pPr>
              <w:pStyle w:val="NoSpacing"/>
            </w:pPr>
            <w:r>
              <w:t>451</w:t>
            </w:r>
          </w:p>
        </w:tc>
        <w:tc>
          <w:tcPr>
            <w:tcW w:w="1959" w:type="dxa"/>
          </w:tcPr>
          <w:p w:rsidR="006C1A61" w:rsidRDefault="006C1A61" w:rsidP="00AB5EAB">
            <w:pPr>
              <w:pStyle w:val="NoSpacing"/>
            </w:pPr>
            <w:r>
              <w:t>99,100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J-2X</w:t>
            </w:r>
          </w:p>
        </w:tc>
        <w:tc>
          <w:tcPr>
            <w:tcW w:w="1993" w:type="dxa"/>
          </w:tcPr>
          <w:p w:rsidR="006C1A61" w:rsidRDefault="006C1A61" w:rsidP="00AB5EAB">
            <w:pPr>
              <w:pStyle w:val="NoSpacing"/>
            </w:pPr>
            <w:r>
              <w:t>448</w:t>
            </w:r>
          </w:p>
        </w:tc>
        <w:tc>
          <w:tcPr>
            <w:tcW w:w="1959" w:type="dxa"/>
          </w:tcPr>
          <w:p w:rsidR="006C1A61" w:rsidRDefault="006C1A61" w:rsidP="00AB5EAB">
            <w:pPr>
              <w:pStyle w:val="NoSpacing"/>
            </w:pPr>
            <w:r>
              <w:t>1,310,000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 Development</w:t>
            </w:r>
          </w:p>
        </w:tc>
      </w:tr>
      <w:tr w:rsidR="006C1A61" w:rsidTr="00AB5EAB">
        <w:tc>
          <w:tcPr>
            <w:tcW w:w="1924" w:type="dxa"/>
          </w:tcPr>
          <w:p w:rsidR="006C1A61" w:rsidRDefault="006C1A61" w:rsidP="00AB5EAB">
            <w:pPr>
              <w:pStyle w:val="NoSpacing"/>
            </w:pPr>
            <w:r>
              <w:t>LE-5B</w:t>
            </w:r>
          </w:p>
        </w:tc>
        <w:tc>
          <w:tcPr>
            <w:tcW w:w="1993" w:type="dxa"/>
          </w:tcPr>
          <w:p w:rsidR="006C1A61" w:rsidRDefault="006C1A61" w:rsidP="00AB5EAB">
            <w:pPr>
              <w:pStyle w:val="NoSpacing"/>
            </w:pPr>
            <w:r>
              <w:t>447</w:t>
            </w:r>
          </w:p>
        </w:tc>
        <w:tc>
          <w:tcPr>
            <w:tcW w:w="1959" w:type="dxa"/>
          </w:tcPr>
          <w:p w:rsidR="006C1A61" w:rsidRDefault="006C1A61" w:rsidP="00AB5EAB">
            <w:pPr>
              <w:pStyle w:val="NoSpacing"/>
            </w:pPr>
            <w:r>
              <w:t>137,000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HM7B</w:t>
            </w:r>
          </w:p>
        </w:tc>
        <w:tc>
          <w:tcPr>
            <w:tcW w:w="1993" w:type="dxa"/>
          </w:tcPr>
          <w:p w:rsidR="006C1A61" w:rsidRDefault="006C1A61" w:rsidP="00AB5EAB">
            <w:pPr>
              <w:pStyle w:val="NoSpacing"/>
            </w:pPr>
            <w:r>
              <w:t>446</w:t>
            </w:r>
          </w:p>
        </w:tc>
        <w:tc>
          <w:tcPr>
            <w:tcW w:w="1959" w:type="dxa"/>
          </w:tcPr>
          <w:p w:rsidR="006C1A61" w:rsidRDefault="006C1A61" w:rsidP="00AB5EAB">
            <w:pPr>
              <w:pStyle w:val="NoSpacing"/>
            </w:pPr>
            <w:r>
              <w:t>64,800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LE-7A</w:t>
            </w:r>
          </w:p>
        </w:tc>
        <w:tc>
          <w:tcPr>
            <w:tcW w:w="1993" w:type="dxa"/>
          </w:tcPr>
          <w:p w:rsidR="006C1A61" w:rsidRDefault="006C1A61" w:rsidP="00AB5EAB">
            <w:pPr>
              <w:pStyle w:val="NoSpacing"/>
            </w:pPr>
            <w:r>
              <w:t>438</w:t>
            </w:r>
          </w:p>
        </w:tc>
        <w:tc>
          <w:tcPr>
            <w:tcW w:w="1959" w:type="dxa"/>
          </w:tcPr>
          <w:p w:rsidR="006C1A61" w:rsidRDefault="006C1A61" w:rsidP="00AB5EAB">
            <w:pPr>
              <w:pStyle w:val="NoSpacing"/>
            </w:pPr>
            <w:r>
              <w:t>1,098,000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proofErr w:type="spellStart"/>
            <w:r>
              <w:t>Vulcain</w:t>
            </w:r>
            <w:proofErr w:type="spellEnd"/>
            <w:r>
              <w:t xml:space="preserve"> II (HM60)</w:t>
            </w:r>
          </w:p>
        </w:tc>
        <w:tc>
          <w:tcPr>
            <w:tcW w:w="1993" w:type="dxa"/>
          </w:tcPr>
          <w:p w:rsidR="006C1A61" w:rsidRDefault="006C1A61" w:rsidP="00AB5EAB">
            <w:pPr>
              <w:pStyle w:val="NoSpacing"/>
            </w:pPr>
            <w:r>
              <w:t>429</w:t>
            </w:r>
          </w:p>
        </w:tc>
        <w:tc>
          <w:tcPr>
            <w:tcW w:w="1959" w:type="dxa"/>
          </w:tcPr>
          <w:p w:rsidR="006C1A61" w:rsidRDefault="006C1A61" w:rsidP="00AB5EAB">
            <w:pPr>
              <w:pStyle w:val="NoSpacing"/>
            </w:pPr>
            <w:r>
              <w:t>1,359,000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RS-68A</w:t>
            </w:r>
          </w:p>
        </w:tc>
        <w:tc>
          <w:tcPr>
            <w:tcW w:w="1993" w:type="dxa"/>
          </w:tcPr>
          <w:p w:rsidR="006C1A61" w:rsidRDefault="006C1A61" w:rsidP="00AB5EAB">
            <w:pPr>
              <w:pStyle w:val="NoSpacing"/>
            </w:pPr>
            <w:r>
              <w:t>414</w:t>
            </w:r>
          </w:p>
        </w:tc>
        <w:tc>
          <w:tcPr>
            <w:tcW w:w="1959" w:type="dxa"/>
          </w:tcPr>
          <w:p w:rsidR="006C1A61" w:rsidRDefault="006C1A61" w:rsidP="00AB5EAB">
            <w:pPr>
              <w:pStyle w:val="NoSpacing"/>
            </w:pPr>
            <w:r>
              <w:t>3,560,000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bl>
    <w:p w:rsidR="006C1A61" w:rsidRDefault="006C1A61" w:rsidP="006C1A61">
      <w:pPr>
        <w:pStyle w:val="NoSpacing"/>
      </w:pPr>
    </w:p>
    <w:p w:rsidR="006C1A61" w:rsidRPr="006C1A61" w:rsidRDefault="006C1A61" w:rsidP="006C1A61">
      <w:pPr>
        <w:pStyle w:val="NoSpacing"/>
        <w:rPr>
          <w:u w:val="single"/>
        </w:rPr>
      </w:pPr>
      <w:r w:rsidRPr="006C1A61">
        <w:rPr>
          <w:u w:val="single"/>
        </w:rPr>
        <w:t>Proposed Development Cost Curve</w:t>
      </w:r>
    </w:p>
    <w:p w:rsidR="006C1A61" w:rsidRDefault="006C1A61" w:rsidP="006C1A61">
      <w:pPr>
        <w:pStyle w:val="NoSpacing"/>
      </w:pPr>
      <w:r>
        <w:t xml:space="preserve">Numerous engines have operational TRL-9 capabilities of very high thrust up to </w:t>
      </w:r>
      <w:proofErr w:type="spellStart"/>
      <w:proofErr w:type="gramStart"/>
      <w:r>
        <w:t>Isp</w:t>
      </w:r>
      <w:proofErr w:type="spellEnd"/>
      <w:proofErr w:type="gramEnd"/>
      <w:r>
        <w:t xml:space="preserve"> = 452 seconds, and moderate thrust up to 465 seconds.  Therefore the following initial technology development curve may be proposed</w:t>
      </w:r>
    </w:p>
    <w:p w:rsidR="006C1A61" w:rsidRDefault="006C1A61" w:rsidP="006C1A61">
      <w:pPr>
        <w:pStyle w:val="NoSpacing"/>
        <w:numPr>
          <w:ilvl w:val="0"/>
          <w:numId w:val="2"/>
        </w:numPr>
      </w:pPr>
      <w:proofErr w:type="spellStart"/>
      <w:r>
        <w:t>Isp</w:t>
      </w:r>
      <w:proofErr w:type="spellEnd"/>
      <w:r>
        <w:t xml:space="preserve"> &lt;= 445  </w:t>
      </w:r>
      <w:r>
        <w:sym w:font="Wingdings" w:char="F0E0"/>
      </w:r>
      <w:r>
        <w:t xml:space="preserve"> Low Cost</w:t>
      </w:r>
    </w:p>
    <w:p w:rsidR="006C1A61" w:rsidRDefault="006C1A61" w:rsidP="006C1A61">
      <w:pPr>
        <w:pStyle w:val="NoSpacing"/>
        <w:numPr>
          <w:ilvl w:val="0"/>
          <w:numId w:val="2"/>
        </w:numPr>
      </w:pPr>
      <w:r>
        <w:t xml:space="preserve">445 &lt; </w:t>
      </w:r>
      <w:proofErr w:type="spellStart"/>
      <w:r>
        <w:t>Isp</w:t>
      </w:r>
      <w:proofErr w:type="spellEnd"/>
      <w:r>
        <w:t xml:space="preserve"> &lt;= 452  </w:t>
      </w:r>
      <w:r>
        <w:sym w:font="Wingdings" w:char="F0E0"/>
      </w:r>
      <w:r>
        <w:t xml:space="preserve"> Medium Cost</w:t>
      </w:r>
    </w:p>
    <w:p w:rsidR="006C1A61" w:rsidRDefault="006C1A61" w:rsidP="006C1A61">
      <w:pPr>
        <w:pStyle w:val="NoSpacing"/>
        <w:numPr>
          <w:ilvl w:val="0"/>
          <w:numId w:val="2"/>
        </w:numPr>
      </w:pPr>
      <w:r>
        <w:t xml:space="preserve">452 &lt; </w:t>
      </w:r>
      <w:proofErr w:type="spellStart"/>
      <w:r>
        <w:t>Isp</w:t>
      </w:r>
      <w:proofErr w:type="spellEnd"/>
      <w:r>
        <w:t xml:space="preserve"> &lt;= 465  </w:t>
      </w:r>
      <w:r>
        <w:sym w:font="Wingdings" w:char="F0E0"/>
      </w:r>
      <w:r>
        <w:t xml:space="preserve"> High Cost</w:t>
      </w:r>
    </w:p>
    <w:p w:rsidR="006C1A61" w:rsidRDefault="006C1A61" w:rsidP="006C1A61">
      <w:pPr>
        <w:pStyle w:val="NoSpacing"/>
        <w:numPr>
          <w:ilvl w:val="0"/>
          <w:numId w:val="2"/>
        </w:numPr>
      </w:pPr>
      <w:r>
        <w:t xml:space="preserve">465 &lt; </w:t>
      </w:r>
      <w:proofErr w:type="spellStart"/>
      <w:r>
        <w:t>Isp</w:t>
      </w:r>
      <w:proofErr w:type="spellEnd"/>
      <w:r>
        <w:t xml:space="preserve"> &lt;= 480  </w:t>
      </w:r>
      <w:r>
        <w:sym w:font="Wingdings" w:char="F0E0"/>
      </w:r>
      <w:r>
        <w:t xml:space="preserve"> Very High Cost</w:t>
      </w:r>
    </w:p>
    <w:p w:rsidR="006C1A61" w:rsidRDefault="006C1A61" w:rsidP="006C1A61">
      <w:pPr>
        <w:pStyle w:val="NoSpacing"/>
      </w:pPr>
      <w:r>
        <w:rPr>
          <w:noProof/>
        </w:rPr>
        <w:drawing>
          <wp:anchor distT="0" distB="0" distL="114300" distR="114300" simplePos="0" relativeHeight="251663360" behindDoc="0" locked="0" layoutInCell="1" allowOverlap="1" wp14:anchorId="682E3BBD" wp14:editId="50B6ACE2">
            <wp:simplePos x="0" y="0"/>
            <wp:positionH relativeFrom="column">
              <wp:posOffset>2038350</wp:posOffset>
            </wp:positionH>
            <wp:positionV relativeFrom="paragraph">
              <wp:posOffset>268605</wp:posOffset>
            </wp:positionV>
            <wp:extent cx="4295775" cy="25825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6C1A61" w:rsidRDefault="006C1A61" w:rsidP="006C1A61">
      <w:pPr>
        <w:pStyle w:val="NoSpacing"/>
      </w:pPr>
    </w:p>
    <w:p w:rsidR="006C1A61" w:rsidRDefault="006C1A61" w:rsidP="006C1A61">
      <w:pPr>
        <w:pStyle w:val="NoSpacing"/>
      </w:pPr>
    </w:p>
    <w:p w:rsidR="006C1A61" w:rsidRDefault="006C1A61" w:rsidP="006C1A61">
      <w:pPr>
        <w:pStyle w:val="NoSpacing"/>
      </w:pPr>
    </w:p>
    <w:p w:rsidR="006C1A61" w:rsidRDefault="006C1A61" w:rsidP="006C1A61">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6C1A61" w:rsidRDefault="006C1A61" w:rsidP="006C1A61">
      <w:pPr>
        <w:pStyle w:val="NoSpacing"/>
      </w:pPr>
    </w:p>
    <w:p w:rsidR="006C1A61" w:rsidRDefault="006C1A61" w:rsidP="006C1A61">
      <w:pPr>
        <w:pStyle w:val="NoSpacing"/>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BC4BCC" w:rsidRDefault="006C1A61" w:rsidP="006C1A61">
      <w:pPr>
        <w:pStyle w:val="NoSpacing"/>
        <w:rPr>
          <w:b/>
          <w:i/>
          <w:sz w:val="24"/>
        </w:rPr>
      </w:pPr>
      <w:r w:rsidRPr="00BC4BCC">
        <w:rPr>
          <w:b/>
          <w:i/>
          <w:sz w:val="24"/>
        </w:rPr>
        <w:lastRenderedPageBreak/>
        <w:t>Nuclear Thermal Rocket (NTR)</w:t>
      </w:r>
      <w:r w:rsidR="00BC4BCC">
        <w:rPr>
          <w:b/>
          <w:i/>
          <w:sz w:val="24"/>
        </w:rPr>
        <w:t xml:space="preserve"> Review</w:t>
      </w:r>
    </w:p>
    <w:p w:rsidR="006C1A61" w:rsidRDefault="006C1A61" w:rsidP="006C1A61">
      <w:pPr>
        <w:pStyle w:val="NoSpacing"/>
        <w:numPr>
          <w:ilvl w:val="0"/>
          <w:numId w:val="2"/>
        </w:numPr>
      </w:pPr>
      <w:r>
        <w:t xml:space="preserve">Capable of providing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LH</w:t>
      </w:r>
      <w:r w:rsidRPr="006C1A61">
        <w:rPr>
          <w:vertAlign w:val="subscript"/>
        </w:rPr>
        <w:t>2</w:t>
      </w:r>
      <w:r>
        <w:t xml:space="preserve"> as a propellant. Significant costs may be associated with improving these capabilities and developing test facilities on earth (NASA TA-2, 2015, </w:t>
      </w:r>
      <w:proofErr w:type="spellStart"/>
      <w:r>
        <w:t>pg</w:t>
      </w:r>
      <w:proofErr w:type="spellEnd"/>
      <w:r>
        <w:t xml:space="preserve"> 24, </w:t>
      </w:r>
      <w:proofErr w:type="spellStart"/>
      <w:r>
        <w:t>pg</w:t>
      </w:r>
      <w:proofErr w:type="spellEnd"/>
      <w:r>
        <w:t xml:space="preserve"> 73)</w:t>
      </w:r>
    </w:p>
    <w:p w:rsidR="006C1A61" w:rsidRDefault="006C1A61" w:rsidP="006C1A61">
      <w:pPr>
        <w:pStyle w:val="NoSpacing"/>
        <w:numPr>
          <w:ilvl w:val="0"/>
          <w:numId w:val="2"/>
        </w:numPr>
      </w:pPr>
      <w:r>
        <w:t>Listed as TRL-4 from NASA programs in the 60’s and 70’s where a prototype flight design was conducted. However, facing new technologies, fuel forms, and materials has reduced the TRL to Level 3.</w:t>
      </w:r>
    </w:p>
    <w:p w:rsidR="006C1A61" w:rsidRDefault="006C1A61" w:rsidP="006C1A61">
      <w:pPr>
        <w:pStyle w:val="NoSpacing"/>
        <w:numPr>
          <w:ilvl w:val="0"/>
          <w:numId w:val="2"/>
        </w:numPr>
      </w:pPr>
      <w:r>
        <w:t>The NASA Rover/NERVA program that ran from 1995-1973 developed 20 rocket reactors and achieved TRL-4 with a cost ~$10billion 1992 dollars (</w:t>
      </w:r>
      <w:hyperlink r:id="rId9" w:history="1">
        <w:r w:rsidRPr="00E15380">
          <w:rPr>
            <w:rStyle w:val="Hyperlink"/>
          </w:rPr>
          <w:t>http://trajectory.grc.nasa.gov/aboutus/papers/AIAA-93-4170.pdf</w:t>
        </w:r>
      </w:hyperlink>
      <w:r>
        <w:t xml:space="preserve">) </w:t>
      </w:r>
    </w:p>
    <w:p w:rsidR="006C1A61" w:rsidRDefault="006C1A61" w:rsidP="006C1A61">
      <w:pPr>
        <w:pStyle w:val="NoSpacing"/>
        <w:numPr>
          <w:ilvl w:val="0"/>
          <w:numId w:val="2"/>
        </w:numPr>
      </w:pPr>
      <w:r>
        <w:t>The Russians also began and have kept going with NTR work, including extensive test facilities</w:t>
      </w:r>
    </w:p>
    <w:p w:rsidR="006C1A61" w:rsidRDefault="006C1A61" w:rsidP="006C1A61">
      <w:pPr>
        <w:pStyle w:val="NoSpacing"/>
      </w:pPr>
    </w:p>
    <w:p w:rsidR="006C1A61" w:rsidRPr="00BC4BCC" w:rsidRDefault="006C1A61" w:rsidP="006C1A61">
      <w:pPr>
        <w:pStyle w:val="NoSpacing"/>
        <w:rPr>
          <w:u w:val="single"/>
        </w:rPr>
      </w:pPr>
      <w:r w:rsidRPr="00BC4BCC">
        <w:rPr>
          <w:u w:val="single"/>
        </w:rPr>
        <w:t>Proposed Development Cost Curve</w:t>
      </w:r>
    </w:p>
    <w:p w:rsidR="006C1A61" w:rsidRDefault="006C1A61" w:rsidP="006C1A61">
      <w:pPr>
        <w:pStyle w:val="NoSpacing"/>
      </w:pPr>
      <w:r>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6C1A61" w:rsidRDefault="006C1A61" w:rsidP="006C1A61">
      <w:pPr>
        <w:pStyle w:val="NoSpacing"/>
        <w:numPr>
          <w:ilvl w:val="0"/>
          <w:numId w:val="2"/>
        </w:numPr>
      </w:pPr>
      <w:proofErr w:type="spellStart"/>
      <w:r>
        <w:t>Isp</w:t>
      </w:r>
      <w:proofErr w:type="spellEnd"/>
      <w:r>
        <w:t xml:space="preserve"> = 850 was displayed at TRL-4 with old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950 was suggested as developable in 1999 with then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1000 is commonly cited as achievable and was proposed to be met through Project </w:t>
      </w:r>
      <w:proofErr w:type="spellStart"/>
      <w:r>
        <w:t>Timberwind</w:t>
      </w:r>
      <w:proofErr w:type="spellEnd"/>
      <w:r>
        <w:t xml:space="preserve"> with a solid reactor </w:t>
      </w:r>
      <w:r>
        <w:sym w:font="Wingdings" w:char="F0E0"/>
      </w:r>
      <w:r>
        <w:t xml:space="preserve"> Very High Cost</w:t>
      </w:r>
    </w:p>
    <w:p w:rsidR="006C1A61" w:rsidRDefault="006C1A61" w:rsidP="006C1A61">
      <w:pPr>
        <w:pStyle w:val="NoSpacing"/>
        <w:numPr>
          <w:ilvl w:val="0"/>
          <w:numId w:val="2"/>
        </w:numPr>
      </w:pPr>
      <w:r>
        <w:t xml:space="preserve">ISP 1300 – 1500 may be possible with a liquid-core engine, however these have not been seriously considered by NASA </w:t>
      </w:r>
      <w:r>
        <w:sym w:font="Wingdings" w:char="F0E0"/>
      </w:r>
      <w:r>
        <w:t xml:space="preserve"> Not achievable in near future</w:t>
      </w:r>
    </w:p>
    <w:p w:rsidR="006C1A61" w:rsidRDefault="006C1A61" w:rsidP="006C1A61">
      <w:pPr>
        <w:pStyle w:val="NoSpacing"/>
        <w:numPr>
          <w:ilvl w:val="0"/>
          <w:numId w:val="2"/>
        </w:numPr>
      </w:pPr>
      <w:r>
        <w:t>ISP 1500 – 2000 (even up to 5000) could be possible in the far future with  a gas core reactor (</w:t>
      </w:r>
      <w:hyperlink r:id="rId10" w:history="1">
        <w:r w:rsidRPr="00E15380">
          <w:rPr>
            <w:rStyle w:val="Hyperlink"/>
          </w:rPr>
          <w:t>https://en.wikipedia.org/wiki/Nuclear_thermal_rocket</w:t>
        </w:r>
      </w:hyperlink>
      <w:r>
        <w:t xml:space="preserve">) </w:t>
      </w:r>
      <w:r w:rsidR="00BC4BCC">
        <w:sym w:font="Wingdings" w:char="F0E0"/>
      </w:r>
      <w:r w:rsidR="00BC4BCC">
        <w:t xml:space="preserve"> Not achievable in near future</w:t>
      </w:r>
    </w:p>
    <w:p w:rsidR="006C1A61" w:rsidRPr="00015A9E" w:rsidRDefault="006C1A61" w:rsidP="006C1A61">
      <w:pPr>
        <w:pStyle w:val="NoSpacing"/>
      </w:pPr>
      <w:r>
        <w:rPr>
          <w:noProof/>
          <w:u w:val="single"/>
        </w:rPr>
        <w:drawing>
          <wp:anchor distT="0" distB="0" distL="114300" distR="114300" simplePos="0" relativeHeight="251665408" behindDoc="0" locked="0" layoutInCell="1" allowOverlap="1" wp14:anchorId="2D83E906" wp14:editId="388F57AF">
            <wp:simplePos x="0" y="0"/>
            <wp:positionH relativeFrom="column">
              <wp:posOffset>1838325</wp:posOffset>
            </wp:positionH>
            <wp:positionV relativeFrom="paragraph">
              <wp:posOffset>125730</wp:posOffset>
            </wp:positionV>
            <wp:extent cx="4357370" cy="261937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7E7081">
              <w:rPr>
                <w:rFonts w:ascii="Calibri" w:eastAsia="Times New Roman" w:hAnsi="Calibri" w:cs="Times New Roman"/>
                <w:color w:val="000000"/>
              </w:rPr>
              <w:t>850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6C1A61" w:rsidRDefault="006C1A61" w:rsidP="006C1A61">
      <w:pPr>
        <w:pStyle w:val="NoSpacing"/>
        <w:rPr>
          <w:u w:val="single"/>
        </w:rPr>
      </w:pPr>
      <w:r>
        <w:rPr>
          <w:u w:val="single"/>
        </w:rPr>
        <w:t xml:space="preserve">     </w:t>
      </w: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0326AC">
      <w:pPr>
        <w:ind w:firstLine="360"/>
        <w:jc w:val="both"/>
      </w:pPr>
    </w:p>
    <w:p w:rsidR="00BC4BCC" w:rsidRDefault="00BC4BCC" w:rsidP="000326AC">
      <w:pPr>
        <w:ind w:firstLine="360"/>
        <w:jc w:val="both"/>
      </w:pPr>
    </w:p>
    <w:p w:rsidR="00BC4BCC" w:rsidRDefault="00BC4BCC" w:rsidP="000326AC">
      <w:pPr>
        <w:ind w:firstLine="360"/>
        <w:jc w:val="both"/>
      </w:pPr>
    </w:p>
    <w:p w:rsidR="00BC4BCC" w:rsidRPr="00BC4BCC" w:rsidRDefault="00BC4BCC" w:rsidP="00BC4BCC">
      <w:pPr>
        <w:pStyle w:val="NoSpacing"/>
        <w:rPr>
          <w:b/>
          <w:i/>
          <w:sz w:val="24"/>
        </w:rPr>
      </w:pPr>
      <w:r w:rsidRPr="00BC4BCC">
        <w:rPr>
          <w:b/>
          <w:i/>
          <w:sz w:val="24"/>
        </w:rPr>
        <w:lastRenderedPageBreak/>
        <w:t>Solar-Electric Propulsion (SEP)</w:t>
      </w:r>
      <w:r>
        <w:rPr>
          <w:b/>
          <w:i/>
          <w:sz w:val="24"/>
        </w:rPr>
        <w:t xml:space="preserve"> Review</w:t>
      </w:r>
    </w:p>
    <w:p w:rsidR="00BC4BCC" w:rsidRPr="00CA5226" w:rsidRDefault="00BC4BCC" w:rsidP="00BC4BCC">
      <w:pPr>
        <w:pStyle w:val="NoSpacing"/>
        <w:numPr>
          <w:ilvl w:val="0"/>
          <w:numId w:val="2"/>
        </w:numPr>
      </w:pPr>
      <w:r>
        <w:t xml:space="preserve">Current projections are </w:t>
      </w:r>
      <w:proofErr w:type="spellStart"/>
      <w:proofErr w:type="gramStart"/>
      <w:r>
        <w:t>Isp</w:t>
      </w:r>
      <w:proofErr w:type="spellEnd"/>
      <w:proofErr w:type="gramEnd"/>
      <w:r>
        <w:t xml:space="preserve"> greater than 4000 seconds, and sizes up to 100 kW. Major challenges include scaling these engines up to over a MW and providing long operation lifetime (NASA TA-2, 2015, </w:t>
      </w:r>
      <w:proofErr w:type="spellStart"/>
      <w:r>
        <w:t>pg</w:t>
      </w:r>
      <w:proofErr w:type="spellEnd"/>
      <w:r>
        <w:t xml:space="preserve"> 22, </w:t>
      </w:r>
      <w:proofErr w:type="spellStart"/>
      <w:r>
        <w:t>pg</w:t>
      </w:r>
      <w:proofErr w:type="spellEnd"/>
      <w:r>
        <w:t xml:space="preserve"> 59)</w:t>
      </w:r>
    </w:p>
    <w:p w:rsidR="00BC4BCC" w:rsidRPr="00432E62" w:rsidRDefault="00BC4BCC" w:rsidP="00BC4BCC">
      <w:pPr>
        <w:pStyle w:val="NoSpacing"/>
        <w:numPr>
          <w:ilvl w:val="0"/>
          <w:numId w:val="2"/>
        </w:numPr>
      </w:pPr>
      <w:r>
        <w:t>Energy generation will be a significant problem for large thrust applications requiring nuclear generation or very large solar collection</w:t>
      </w:r>
    </w:p>
    <w:p w:rsidR="00BC4BCC" w:rsidRDefault="00BC4BCC" w:rsidP="00BC4BCC">
      <w:pPr>
        <w:pStyle w:val="NoSpacing"/>
        <w:rPr>
          <w:u w:val="single"/>
        </w:rPr>
      </w:pPr>
    </w:p>
    <w:p w:rsidR="00BC4BCC" w:rsidRDefault="00BC4BCC" w:rsidP="00BC4BCC">
      <w:pPr>
        <w:pStyle w:val="NoSpacing"/>
      </w:pPr>
      <w:r>
        <w:t>SEP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BC4BCC" w:rsidTr="00AB5EAB">
        <w:tc>
          <w:tcPr>
            <w:tcW w:w="1368" w:type="dxa"/>
          </w:tcPr>
          <w:p w:rsidR="00BC4BCC" w:rsidRDefault="00BC4BCC" w:rsidP="00AB5EAB">
            <w:pPr>
              <w:pStyle w:val="NoSpacing"/>
            </w:pPr>
            <w:r>
              <w:t>Engine</w:t>
            </w:r>
          </w:p>
        </w:tc>
        <w:tc>
          <w:tcPr>
            <w:tcW w:w="1440" w:type="dxa"/>
          </w:tcPr>
          <w:p w:rsidR="00BC4BCC" w:rsidRDefault="00BC4BCC" w:rsidP="00AB5EAB">
            <w:pPr>
              <w:pStyle w:val="NoSpacing"/>
            </w:pPr>
            <w:proofErr w:type="spellStart"/>
            <w:r>
              <w:t>Isp</w:t>
            </w:r>
            <w:proofErr w:type="spellEnd"/>
            <w:r>
              <w:t xml:space="preserve"> (vacuum)</w:t>
            </w:r>
          </w:p>
        </w:tc>
        <w:tc>
          <w:tcPr>
            <w:tcW w:w="1170" w:type="dxa"/>
          </w:tcPr>
          <w:p w:rsidR="00BC4BCC" w:rsidRDefault="00BC4BCC" w:rsidP="00AB5EAB">
            <w:pPr>
              <w:pStyle w:val="NoSpacing"/>
            </w:pPr>
            <w:r>
              <w:t>Thrust</w:t>
            </w:r>
          </w:p>
        </w:tc>
        <w:tc>
          <w:tcPr>
            <w:tcW w:w="1260" w:type="dxa"/>
          </w:tcPr>
          <w:p w:rsidR="00BC4BCC" w:rsidRDefault="00BC4BCC" w:rsidP="00AB5EAB">
            <w:pPr>
              <w:pStyle w:val="NoSpacing"/>
            </w:pPr>
            <w:r>
              <w:t>Energy Use</w:t>
            </w:r>
          </w:p>
        </w:tc>
        <w:tc>
          <w:tcPr>
            <w:tcW w:w="1179" w:type="dxa"/>
          </w:tcPr>
          <w:p w:rsidR="00BC4BCC" w:rsidRDefault="00BC4BCC" w:rsidP="00AB5EAB">
            <w:pPr>
              <w:pStyle w:val="NoSpacing"/>
            </w:pPr>
            <w:r>
              <w:t>Country</w:t>
            </w:r>
          </w:p>
        </w:tc>
        <w:tc>
          <w:tcPr>
            <w:tcW w:w="2201" w:type="dxa"/>
          </w:tcPr>
          <w:p w:rsidR="00BC4BCC" w:rsidRDefault="00BC4BCC" w:rsidP="00AB5EAB">
            <w:pPr>
              <w:pStyle w:val="NoSpacing"/>
            </w:pPr>
            <w:r>
              <w:t>First Flight/Last Fight</w:t>
            </w:r>
          </w:p>
        </w:tc>
      </w:tr>
      <w:tr w:rsidR="00BC4BCC" w:rsidTr="00AB5EAB">
        <w:tc>
          <w:tcPr>
            <w:tcW w:w="1368" w:type="dxa"/>
          </w:tcPr>
          <w:p w:rsidR="00BC4BCC" w:rsidRDefault="00BC4BCC" w:rsidP="00AB5EAB">
            <w:pPr>
              <w:pStyle w:val="NoSpacing"/>
            </w:pPr>
            <w:proofErr w:type="spellStart"/>
            <w:r>
              <w:t>HiPep</w:t>
            </w:r>
            <w:proofErr w:type="spellEnd"/>
          </w:p>
        </w:tc>
        <w:tc>
          <w:tcPr>
            <w:tcW w:w="1440" w:type="dxa"/>
          </w:tcPr>
          <w:p w:rsidR="00BC4BCC" w:rsidRDefault="00BC4BCC" w:rsidP="00AB5EAB">
            <w:pPr>
              <w:pStyle w:val="NoSpacing"/>
            </w:pPr>
            <w:r>
              <w:t>9000</w:t>
            </w:r>
          </w:p>
        </w:tc>
        <w:tc>
          <w:tcPr>
            <w:tcW w:w="1170" w:type="dxa"/>
          </w:tcPr>
          <w:p w:rsidR="00BC4BCC" w:rsidRDefault="00BC4BCC" w:rsidP="00AB5EAB">
            <w:pPr>
              <w:pStyle w:val="NoSpacing"/>
            </w:pPr>
            <w:r>
              <w:t>0.67 N</w:t>
            </w:r>
          </w:p>
        </w:tc>
        <w:tc>
          <w:tcPr>
            <w:tcW w:w="1260" w:type="dxa"/>
          </w:tcPr>
          <w:p w:rsidR="00BC4BCC" w:rsidRDefault="00BC4BCC" w:rsidP="00AB5EAB">
            <w:pPr>
              <w:pStyle w:val="NoSpacing"/>
            </w:pPr>
            <w:r>
              <w:t>39.3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TRL 4</w:t>
            </w:r>
          </w:p>
        </w:tc>
      </w:tr>
      <w:tr w:rsidR="00BC4BCC" w:rsidTr="00AB5EAB">
        <w:tc>
          <w:tcPr>
            <w:tcW w:w="1368" w:type="dxa"/>
          </w:tcPr>
          <w:p w:rsidR="00BC4BCC" w:rsidRDefault="00BC4BCC" w:rsidP="00AB5EAB">
            <w:pPr>
              <w:pStyle w:val="NoSpacing"/>
            </w:pPr>
            <w:r>
              <w:t>VASIMR</w:t>
            </w:r>
          </w:p>
        </w:tc>
        <w:tc>
          <w:tcPr>
            <w:tcW w:w="1440" w:type="dxa"/>
          </w:tcPr>
          <w:p w:rsidR="00BC4BCC" w:rsidRDefault="00BC4BCC" w:rsidP="00AB5EAB">
            <w:pPr>
              <w:pStyle w:val="NoSpacing"/>
            </w:pPr>
            <w:r>
              <w:t>5000</w:t>
            </w:r>
          </w:p>
        </w:tc>
        <w:tc>
          <w:tcPr>
            <w:tcW w:w="1170" w:type="dxa"/>
          </w:tcPr>
          <w:p w:rsidR="00BC4BCC" w:rsidRDefault="00BC4BCC" w:rsidP="00AB5EAB">
            <w:pPr>
              <w:pStyle w:val="NoSpacing"/>
            </w:pPr>
            <w:r>
              <w:t>5.7 N</w:t>
            </w:r>
          </w:p>
        </w:tc>
        <w:tc>
          <w:tcPr>
            <w:tcW w:w="1260" w:type="dxa"/>
          </w:tcPr>
          <w:p w:rsidR="00BC4BCC" w:rsidRDefault="00BC4BCC" w:rsidP="00AB5EAB">
            <w:pPr>
              <w:pStyle w:val="NoSpacing"/>
            </w:pPr>
            <w:r>
              <w:t>200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4</w:t>
            </w:r>
          </w:p>
        </w:tc>
      </w:tr>
      <w:tr w:rsidR="00BC4BCC" w:rsidTr="00AB5EAB">
        <w:tc>
          <w:tcPr>
            <w:tcW w:w="1368" w:type="dxa"/>
          </w:tcPr>
          <w:p w:rsidR="00BC4BCC" w:rsidRDefault="00BC4BCC" w:rsidP="00AB5EAB">
            <w:pPr>
              <w:pStyle w:val="NoSpacing"/>
            </w:pPr>
            <w:r>
              <w:t>NEXT</w:t>
            </w:r>
          </w:p>
        </w:tc>
        <w:tc>
          <w:tcPr>
            <w:tcW w:w="1440" w:type="dxa"/>
          </w:tcPr>
          <w:p w:rsidR="00BC4BCC" w:rsidRDefault="00BC4BCC" w:rsidP="00AB5EAB">
            <w:pPr>
              <w:pStyle w:val="NoSpacing"/>
            </w:pPr>
            <w:r>
              <w:t>4100</w:t>
            </w:r>
          </w:p>
        </w:tc>
        <w:tc>
          <w:tcPr>
            <w:tcW w:w="1170" w:type="dxa"/>
          </w:tcPr>
          <w:p w:rsidR="00BC4BCC" w:rsidRDefault="00BC4BCC" w:rsidP="00AB5EAB">
            <w:pPr>
              <w:pStyle w:val="NoSpacing"/>
            </w:pPr>
            <w:r>
              <w:t>0.236 N</w:t>
            </w:r>
          </w:p>
        </w:tc>
        <w:tc>
          <w:tcPr>
            <w:tcW w:w="1260" w:type="dxa"/>
          </w:tcPr>
          <w:p w:rsidR="00BC4BCC" w:rsidRDefault="00BC4BCC" w:rsidP="00AB5EAB">
            <w:pPr>
              <w:pStyle w:val="NoSpacing"/>
            </w:pPr>
            <w:r>
              <w:t>6.8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5</w:t>
            </w:r>
          </w:p>
        </w:tc>
      </w:tr>
      <w:tr w:rsidR="00BC4BCC" w:rsidTr="00AB5EAB">
        <w:tc>
          <w:tcPr>
            <w:tcW w:w="1368" w:type="dxa"/>
          </w:tcPr>
          <w:p w:rsidR="00BC4BCC" w:rsidRDefault="00BC4BCC" w:rsidP="00AB5EAB">
            <w:pPr>
              <w:pStyle w:val="NoSpacing"/>
            </w:pPr>
            <w:r>
              <w:t>Boeing 702</w:t>
            </w:r>
          </w:p>
        </w:tc>
        <w:tc>
          <w:tcPr>
            <w:tcW w:w="1440" w:type="dxa"/>
          </w:tcPr>
          <w:p w:rsidR="00BC4BCC" w:rsidRDefault="00BC4BCC" w:rsidP="00AB5EAB">
            <w:pPr>
              <w:pStyle w:val="NoSpacing"/>
            </w:pPr>
            <w:r>
              <w:t>3800</w:t>
            </w:r>
          </w:p>
        </w:tc>
        <w:tc>
          <w:tcPr>
            <w:tcW w:w="1170" w:type="dxa"/>
          </w:tcPr>
          <w:p w:rsidR="00BC4BCC" w:rsidRDefault="00BC4BCC" w:rsidP="00AB5EAB">
            <w:pPr>
              <w:pStyle w:val="NoSpacing"/>
            </w:pPr>
            <w:r>
              <w:t>0.165 N</w:t>
            </w:r>
          </w:p>
        </w:tc>
        <w:tc>
          <w:tcPr>
            <w:tcW w:w="1260" w:type="dxa"/>
          </w:tcPr>
          <w:p w:rsidR="00BC4BCC" w:rsidRDefault="00BC4BCC" w:rsidP="00AB5EAB">
            <w:pPr>
              <w:pStyle w:val="NoSpacing"/>
            </w:pPr>
            <w:r>
              <w:t>4.5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r w:rsidR="00BC4BCC" w:rsidTr="00AB5EAB">
        <w:tc>
          <w:tcPr>
            <w:tcW w:w="1368" w:type="dxa"/>
          </w:tcPr>
          <w:p w:rsidR="00BC4BCC" w:rsidRDefault="00BC4BCC" w:rsidP="00AB5EAB">
            <w:pPr>
              <w:pStyle w:val="NoSpacing"/>
            </w:pPr>
            <w:r>
              <w:t>NSTAR</w:t>
            </w:r>
          </w:p>
        </w:tc>
        <w:tc>
          <w:tcPr>
            <w:tcW w:w="1440" w:type="dxa"/>
          </w:tcPr>
          <w:p w:rsidR="00BC4BCC" w:rsidRDefault="00BC4BCC" w:rsidP="00AB5EAB">
            <w:pPr>
              <w:pStyle w:val="NoSpacing"/>
            </w:pPr>
            <w:r>
              <w:t>3100</w:t>
            </w:r>
          </w:p>
        </w:tc>
        <w:tc>
          <w:tcPr>
            <w:tcW w:w="1170" w:type="dxa"/>
          </w:tcPr>
          <w:p w:rsidR="00BC4BCC" w:rsidRDefault="00BC4BCC" w:rsidP="00AB5EAB">
            <w:pPr>
              <w:pStyle w:val="NoSpacing"/>
            </w:pPr>
            <w:r>
              <w:t>0.0920 N</w:t>
            </w:r>
          </w:p>
        </w:tc>
        <w:tc>
          <w:tcPr>
            <w:tcW w:w="1260" w:type="dxa"/>
          </w:tcPr>
          <w:p w:rsidR="00BC4BCC" w:rsidRDefault="00BC4BCC" w:rsidP="00AB5EAB">
            <w:pPr>
              <w:pStyle w:val="NoSpacing"/>
            </w:pPr>
            <w:r>
              <w:t>2.3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bl>
    <w:p w:rsidR="00BC4BCC" w:rsidRDefault="00BC4BCC" w:rsidP="00BC4BCC">
      <w:pPr>
        <w:pStyle w:val="NoSpacing"/>
        <w:rPr>
          <w:u w:val="single"/>
        </w:rPr>
      </w:pPr>
    </w:p>
    <w:p w:rsidR="00BC4BCC" w:rsidRPr="00BC4BCC" w:rsidRDefault="00BC4BCC" w:rsidP="00BC4BCC">
      <w:pPr>
        <w:pStyle w:val="NoSpacing"/>
        <w:rPr>
          <w:u w:val="single"/>
        </w:rPr>
      </w:pPr>
      <w:r w:rsidRPr="00BC4BCC">
        <w:rPr>
          <w:u w:val="single"/>
        </w:rPr>
        <w:t>Proposed Development Cost Curve</w:t>
      </w:r>
    </w:p>
    <w:p w:rsidR="00BC4BCC" w:rsidRDefault="00BC4BCC" w:rsidP="00BC4BCC">
      <w:pPr>
        <w:pStyle w:val="NoSpacing"/>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BC4BCC" w:rsidRDefault="00BC4BCC" w:rsidP="00BC4BCC">
      <w:pPr>
        <w:pStyle w:val="NoSpacing"/>
        <w:numPr>
          <w:ilvl w:val="0"/>
          <w:numId w:val="2"/>
        </w:numPr>
      </w:pPr>
      <w:r>
        <w:t xml:space="preserve">3000 &lt; </w:t>
      </w:r>
      <w:proofErr w:type="spellStart"/>
      <w:r>
        <w:t>Isp</w:t>
      </w:r>
      <w:proofErr w:type="spellEnd"/>
      <w:r>
        <w:t xml:space="preserve"> &lt;= 3800  </w:t>
      </w:r>
      <w:r>
        <w:sym w:font="Wingdings" w:char="F0E0"/>
      </w:r>
      <w:r>
        <w:t xml:space="preserve"> Low Cost</w:t>
      </w:r>
    </w:p>
    <w:p w:rsidR="00BC4BCC" w:rsidRDefault="00BC4BCC" w:rsidP="00BC4BCC">
      <w:pPr>
        <w:pStyle w:val="NoSpacing"/>
        <w:numPr>
          <w:ilvl w:val="0"/>
          <w:numId w:val="2"/>
        </w:numPr>
      </w:pPr>
      <w:r>
        <w:t xml:space="preserve">3800 &lt; </w:t>
      </w:r>
      <w:proofErr w:type="spellStart"/>
      <w:r>
        <w:t>Isp</w:t>
      </w:r>
      <w:proofErr w:type="spellEnd"/>
      <w:r>
        <w:t xml:space="preserve"> &lt;= 5000  </w:t>
      </w:r>
      <w:r>
        <w:sym w:font="Wingdings" w:char="F0E0"/>
      </w:r>
      <w:r>
        <w:t xml:space="preserve"> High Cost</w:t>
      </w:r>
    </w:p>
    <w:p w:rsidR="00BC4BCC" w:rsidRDefault="00BC4BCC" w:rsidP="00BC4BCC">
      <w:pPr>
        <w:pStyle w:val="NoSpacing"/>
        <w:numPr>
          <w:ilvl w:val="0"/>
          <w:numId w:val="2"/>
        </w:numPr>
      </w:pPr>
      <w:r>
        <w:t xml:space="preserve">5000 &lt; </w:t>
      </w:r>
      <w:proofErr w:type="spellStart"/>
      <w:r>
        <w:t>Isp</w:t>
      </w:r>
      <w:proofErr w:type="spellEnd"/>
      <w:r>
        <w:t xml:space="preserve"> &lt;= 9000  </w:t>
      </w:r>
      <w:r>
        <w:sym w:font="Wingdings" w:char="F0E0"/>
      </w:r>
      <w:r>
        <w:t xml:space="preserve"> Very High Cost</w:t>
      </w:r>
    </w:p>
    <w:p w:rsidR="00BC4BCC" w:rsidRDefault="00BC4BCC" w:rsidP="00BC4BCC">
      <w:pPr>
        <w:pStyle w:val="NoSpacing"/>
      </w:pPr>
    </w:p>
    <w:p w:rsidR="00BC4BCC" w:rsidRDefault="00BC4BCC" w:rsidP="00BC4BCC">
      <w:pPr>
        <w:pStyle w:val="NoSpacing"/>
      </w:pP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BC4BCC" w:rsidRDefault="00BC4BCC" w:rsidP="00BC4BCC">
      <w:pPr>
        <w:pStyle w:val="NoSpacing"/>
        <w:rPr>
          <w:u w:val="single"/>
        </w:rPr>
      </w:pPr>
      <w:r>
        <w:rPr>
          <w:noProof/>
          <w:u w:val="single"/>
        </w:rPr>
        <w:drawing>
          <wp:anchor distT="0" distB="0" distL="114300" distR="114300" simplePos="0" relativeHeight="251667456" behindDoc="0" locked="0" layoutInCell="1" allowOverlap="1" wp14:anchorId="77E650A7" wp14:editId="59B0FE11">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Pr="00DA2959" w:rsidRDefault="00BC4BCC" w:rsidP="000326AC">
      <w:pPr>
        <w:ind w:firstLine="360"/>
        <w:jc w:val="both"/>
      </w:pPr>
    </w:p>
    <w:sectPr w:rsidR="00BC4BCC" w:rsidRPr="00DA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45507"/>
    <w:multiLevelType w:val="hybridMultilevel"/>
    <w:tmpl w:val="F13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AD"/>
    <w:rsid w:val="000105AD"/>
    <w:rsid w:val="000326AC"/>
    <w:rsid w:val="00111338"/>
    <w:rsid w:val="00473B4F"/>
    <w:rsid w:val="006C1A61"/>
    <w:rsid w:val="00804779"/>
    <w:rsid w:val="008500F5"/>
    <w:rsid w:val="00AA07BB"/>
    <w:rsid w:val="00AA6A88"/>
    <w:rsid w:val="00B9416F"/>
    <w:rsid w:val="00BC4BCC"/>
    <w:rsid w:val="00CE12A6"/>
    <w:rsid w:val="00DA2959"/>
    <w:rsid w:val="00E41350"/>
    <w:rsid w:val="00E474D7"/>
    <w:rsid w:val="00E80667"/>
    <w:rsid w:val="00F54123"/>
    <w:rsid w:val="00F75296"/>
    <w:rsid w:val="00FA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58EED-08CD-4FA4-BE7B-4256DC3A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uiPriority w:val="59"/>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en.wikipedia.org/wiki/Nuclear_thermal_rocket" TargetMode="External"/><Relationship Id="rId4" Type="http://schemas.openxmlformats.org/officeDocument/2006/relationships/webSettings" Target="webSettings.xml"/><Relationship Id="rId9" Type="http://schemas.openxmlformats.org/officeDocument/2006/relationships/hyperlink" Target="http://trajectory.grc.nasa.gov/aboutus/papers/AIAA-93-417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siwald@gmail.com</cp:lastModifiedBy>
  <cp:revision>9</cp:revision>
  <dcterms:created xsi:type="dcterms:W3CDTF">2016-03-15T21:38:00Z</dcterms:created>
  <dcterms:modified xsi:type="dcterms:W3CDTF">2016-03-16T01:51:00Z</dcterms:modified>
</cp:coreProperties>
</file>