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60" w:before="0"/>
        <w:jc w:val="center"/>
      </w:pPr>
      <w:r>
        <w:rPr>
          <w:rFonts w:ascii="Arial" w:cs="Arial" w:eastAsia="Arial" w:hAnsi="Arial"/>
          <w:b/>
          <w:bCs/>
          <w:color w:val="1A56DB"/>
          <w:sz w:val="64"/>
          <w:szCs w:val="64"/>
        </w:rPr>
        <w:t xml:space="preserve">ChromaCheck</w:t>
      </w:r>
    </w:p>
    <w:p>
      <w:pPr>
        <w:spacing w:after="100" w:before="0"/>
        <w:jc w:val="center"/>
      </w:pPr>
      <w:r>
        <w:rPr>
          <w:rFonts w:ascii="Arial" w:cs="Arial" w:eastAsia="Arial" w:hAnsi="Arial"/>
          <w:i/>
          <w:iCs/>
          <w:color w:val="374151"/>
          <w:sz w:val="30"/>
          <w:szCs w:val="30"/>
        </w:rPr>
        <w:t xml:space="preserve">Color Palette Usability Analyzer</w:t>
      </w:r>
    </w:p>
    <w:p>
      <w:pPr>
        <w:spacing w:after="80" w:before="0"/>
        <w:jc w:val="center"/>
      </w:pPr>
      <w:r>
        <w:rPr>
          <w:rFonts w:ascii="Arial" w:cs="Arial" w:eastAsia="Arial" w:hAnsi="Arial"/>
          <w:b/>
          <w:bCs/>
          <w:color w:val="111827"/>
          <w:sz w:val="28"/>
          <w:szCs w:val="28"/>
        </w:rPr>
        <w:t xml:space="preserve">Deployment Performance Report</w:t>
      </w:r>
    </w:p>
    <w:p>
      <w:pPr>
        <w:spacing w:after="40" w:before="0"/>
        <w:jc w:val="center"/>
      </w:pPr>
      <w:r>
        <w:rPr>
          <w:rFonts w:ascii="Arial" w:cs="Arial" w:eastAsia="Arial" w:hAnsi="Arial"/>
          <w:color w:val="6B7280"/>
          <w:sz w:val="22"/>
          <w:szCs w:val="22"/>
        </w:rPr>
        <w:t xml:space="preserve">June 2026</w:t>
      </w:r>
    </w:p>
    <w:p>
      <w:pPr>
        <w:spacing w:after="40" w:before="0"/>
        <w:jc w:val="center"/>
      </w:pPr>
      <w:r>
        <w:rPr>
          <w:rFonts w:ascii="Arial" w:cs="Arial" w:eastAsia="Arial" w:hAnsi="Arial"/>
          <w:b/>
          <w:bCs/>
          <w:color w:val="374151"/>
          <w:sz w:val="22"/>
          <w:szCs w:val="22"/>
        </w:rPr>
        <w:t xml:space="preserve">Carl Ernard M. Marcos</w:t>
      </w:r>
    </w:p>
    <w:p>
      <w:pPr>
        <w:spacing w:after="80" w:before="0"/>
        <w:jc w:val="center"/>
      </w:pPr>
      <w:r>
        <w:rPr>
          <w:rFonts w:ascii="Arial" w:cs="Arial" w:eastAsia="Arial" w:hAnsi="Arial"/>
          <w:color w:val="6B7280"/>
          <w:sz w:val="20"/>
          <w:szCs w:val="20"/>
        </w:rPr>
        <w:t xml:space="preserve">Repository: </w:t>
      </w:r>
      <w:hyperlink w:history="1" r:id="rIdyj2kml0kqz9lrlah8rl5k">
        <w:r>
          <w:rPr>
            <w:rFonts w:ascii="Arial" w:cs="Arial" w:eastAsia="Arial" w:hAnsi="Arial"/>
            <w:color w:val="1A56DB"/>
            <w:sz w:val="20"/>
            <w:szCs w:val="20"/>
            <w:u w:val="single"/>
          </w:rPr>
          <w:t xml:space="preserve">github.com/Aerrind/chroma-check (deploy-prototype)</w:t>
        </w:r>
      </w:hyperlink>
    </w:p>
    <w:p>
      <w:pPr>
        <w:pBdr>
          <w:bottom w:val="single" w:color="C3D9FF" w:sz="4" w:space="1"/>
        </w:pBdr>
        <w:spacing w:after="200" w:before="200"/>
      </w:pPr>
    </w:p>
    <w:p>
      <w:pPr>
        <w:spacing w:after="80" w:before="0"/>
      </w:pPr>
    </w:p>
    <w:p>
      <w:pPr>
        <w:pStyle w:val="Heading1"/>
        <w:spacing w:after="160" w:before="360"/>
      </w:pPr>
      <w:r>
        <w:rPr>
          <w:rFonts w:ascii="Arial" w:cs="Arial" w:eastAsia="Arial" w:hAnsi="Arial"/>
          <w:b/>
          <w:bCs/>
          <w:color w:val="1A56DB"/>
          <w:sz w:val="36"/>
          <w:szCs w:val="36"/>
        </w:rPr>
        <w:t xml:space="preserve">1. Introduction</w:t>
      </w:r>
    </w:p>
    <w:p>
      <w:pPr>
        <w:spacing w:after="120" w:before="80"/>
        <w:jc w:val="both"/>
      </w:pPr>
      <w:r>
        <w:rPr>
          <w:rFonts w:ascii="Arial" w:cs="Arial" w:eastAsia="Arial" w:hAnsi="Arial"/>
          <w:b w:val="false"/>
          <w:bCs w:val="false"/>
          <w:i w:val="false"/>
          <w:iCs w:val="false"/>
          <w:color w:val="374151"/>
          <w:sz w:val="22"/>
          <w:szCs w:val="22"/>
        </w:rPr>
        <w:t xml:space="preserve">Color is a foundational element of user interface design, guiding attention, encoding meaning, and conveying brand identity. Yet its visual effectiveness depends heavily on the observer: approximately 8% of males and 0.5% of females worldwide experience some form of color vision deficiency (CVD) (Simunovic, 2010). The Web Content Accessibility Guidelines (WCAG) provide a normative framework for accessible contrast, but adoption in early-stage design workflows remains inconsistent, largely because dedicated checking tools exist as separate, disconnected utilities that interrupt rather than integrate into the design process.</w:t>
      </w:r>
    </w:p>
    <w:p>
      <w:pPr>
        <w:spacing w:after="120" w:before="80"/>
        <w:jc w:val="both"/>
      </w:pPr>
      <w:r>
        <w:rPr>
          <w:rFonts w:ascii="Arial" w:cs="Arial" w:eastAsia="Arial" w:hAnsi="Arial"/>
          <w:b w:val="false"/>
          <w:bCs w:val="false"/>
          <w:i w:val="false"/>
          <w:iCs w:val="false"/>
          <w:color w:val="374151"/>
          <w:sz w:val="22"/>
          <w:szCs w:val="22"/>
        </w:rPr>
        <w:t xml:space="preserve">ChromaCheck was developed to address this fragmentation. Conceived as a zero-dependency, single-file browser application, it consolidates WCAG contrast analysis, CVD simulation, harmony detection, emotional profiling, and heuristic recommendations into one interactive interface. Following successful local validation of the prototype, the tool has been deployed to the web via the deploy-prototype branch of its GitHub repository, making it publicly accessible without installation or configuration overhead.</w:t>
      </w:r>
    </w:p>
    <w:p>
      <w:pPr>
        <w:spacing w:after="120" w:before="80"/>
        <w:jc w:val="both"/>
      </w:pPr>
      <w:r>
        <w:rPr>
          <w:rFonts w:ascii="Arial" w:cs="Arial" w:eastAsia="Arial" w:hAnsi="Arial"/>
          <w:b w:val="false"/>
          <w:bCs w:val="false"/>
          <w:i w:val="false"/>
          <w:iCs w:val="false"/>
          <w:color w:val="374151"/>
          <w:sz w:val="22"/>
          <w:szCs w:val="22"/>
        </w:rPr>
        <w:t xml:space="preserve">This report documents the technical performance of ChromaCheck as a live, deployed web application. It covers the system architecture that enables its deployment characteristics, evaluates runtime and functional performance observed in the deployed environment, and identifies areas of strength and future development priority. The report is structured in IMRAD format to facilitate technical review.</w:t>
      </w:r>
    </w:p>
    <w:p>
      <w:pPr>
        <w:spacing w:after="80" w:before="0"/>
      </w:pPr>
    </w:p>
    <w:p>
      <w:pPr>
        <w:pStyle w:val="Heading1"/>
        <w:spacing w:after="160" w:before="360"/>
      </w:pPr>
      <w:r>
        <w:rPr>
          <w:rFonts w:ascii="Arial" w:cs="Arial" w:eastAsia="Arial" w:hAnsi="Arial"/>
          <w:b/>
          <w:bCs/>
          <w:color w:val="1A56DB"/>
          <w:sz w:val="36"/>
          <w:szCs w:val="36"/>
        </w:rPr>
        <w:t xml:space="preserve">2. Methods</w:t>
      </w:r>
    </w:p>
    <w:p>
      <w:pPr>
        <w:pStyle w:val="Heading2"/>
        <w:spacing w:after="120" w:before="280"/>
      </w:pPr>
      <w:r>
        <w:rPr>
          <w:rFonts w:ascii="Arial" w:cs="Arial" w:eastAsia="Arial" w:hAnsi="Arial"/>
          <w:b/>
          <w:bCs/>
          <w:color w:val="111827"/>
          <w:sz w:val="28"/>
          <w:szCs w:val="28"/>
        </w:rPr>
        <w:t xml:space="preserve">2.1  System Architecture and Deployment Configuration</w:t>
      </w:r>
    </w:p>
    <w:p>
      <w:pPr>
        <w:spacing w:after="120" w:before="80"/>
        <w:jc w:val="both"/>
      </w:pPr>
      <w:r>
        <w:rPr>
          <w:rFonts w:ascii="Arial" w:cs="Arial" w:eastAsia="Arial" w:hAnsi="Arial"/>
          <w:b w:val="false"/>
          <w:bCs w:val="false"/>
          <w:i w:val="false"/>
          <w:iCs w:val="false"/>
          <w:color w:val="374151"/>
          <w:sz w:val="22"/>
          <w:szCs w:val="22"/>
        </w:rPr>
        <w:t xml:space="preserve">ChromaCheck is implemented as a single self-contained HTML5 file in which all markup, styles, and application logic are inlined. No backend server, build pipeline, or runtime dependency is required. Typography is loaded from the Google Fonts API (DM Serif Display, DM Mono, and Outfit); all analytical and interactive functions execute through native browser APIs and vanilla JavaScript.</w:t>
      </w:r>
    </w:p>
    <w:p>
      <w:pPr>
        <w:spacing w:after="120" w:before="80"/>
        <w:jc w:val="both"/>
      </w:pPr>
      <w:r>
        <w:rPr>
          <w:rFonts w:ascii="Arial" w:cs="Arial" w:eastAsia="Arial" w:hAnsi="Arial"/>
          <w:b w:val="false"/>
          <w:bCs w:val="false"/>
          <w:i w:val="false"/>
          <w:iCs w:val="false"/>
          <w:color w:val="374151"/>
          <w:sz w:val="22"/>
          <w:szCs w:val="22"/>
        </w:rPr>
        <w:t xml:space="preserve">Deployment is managed through the deploy-prototype branch of the project repository at https://github.com/Aerrind/chroma-check/tree/deploy-prototype. The branch is configured for static hosting, allowing the application to be served directly from the repository or any CDN-backed static host without modification. This architecture results in a minimal deployment footprint: a single HTTP request delivers the entire application, with one additional asynchronous font request from Google Fonts.</w:t>
      </w:r>
    </w:p>
    <w:p>
      <w:pPr>
        <w:spacing w:after="40" w:before="0"/>
      </w:pPr>
    </w:p>
    <w:p>
      <w:pPr>
        <w:pStyle w:val="Heading2"/>
        <w:spacing w:after="120" w:before="280"/>
      </w:pPr>
      <w:r>
        <w:rPr>
          <w:rFonts w:ascii="Arial" w:cs="Arial" w:eastAsia="Arial" w:hAnsi="Arial"/>
          <w:b/>
          <w:bCs/>
          <w:color w:val="111827"/>
          <w:sz w:val="28"/>
          <w:szCs w:val="28"/>
        </w:rPr>
        <w:t xml:space="preserve">2.2  Functional Scope of the Deployed Prototype</w:t>
      </w:r>
    </w:p>
    <w:p>
      <w:pPr>
        <w:spacing w:after="120" w:before="80"/>
        <w:jc w:val="both"/>
      </w:pPr>
      <w:r>
        <w:rPr>
          <w:rFonts w:ascii="Arial" w:cs="Arial" w:eastAsia="Arial" w:hAnsi="Arial"/>
          <w:b w:val="false"/>
          <w:bCs w:val="false"/>
          <w:i w:val="false"/>
          <w:iCs w:val="false"/>
          <w:color w:val="374151"/>
          <w:sz w:val="22"/>
          <w:szCs w:val="22"/>
        </w:rPr>
        <w:t xml:space="preserve">The deployed prototype exposes six analytical capabilities accessible through a unified interface:</w:t>
      </w:r>
    </w:p>
    <w:p>
      <w:pPr>
        <w:pStyle w:val="ListParagraph"/>
        <w:numPr>
          <w:ilvl w:val="0"/>
          <w:numId w:val="2"/>
        </w:numPr>
        <w:spacing w:after="60" w:before="40"/>
      </w:pPr>
      <w:r>
        <w:rPr>
          <w:rFonts w:ascii="Arial" w:cs="Arial" w:eastAsia="Arial" w:hAnsi="Arial"/>
          <w:color w:val="374151"/>
          <w:sz w:val="22"/>
          <w:szCs w:val="22"/>
        </w:rPr>
        <w:t xml:space="preserve">Real-time WCAG 2.1 contrast ratio analysis for all unique color pair combinations in a palette of two to eight colors, classified against AA (4.5:1) and AAA (7:1) thresholds.</w:t>
      </w:r>
    </w:p>
    <w:p>
      <w:pPr>
        <w:pStyle w:val="ListParagraph"/>
        <w:numPr>
          <w:ilvl w:val="0"/>
          <w:numId w:val="2"/>
        </w:numPr>
        <w:spacing w:after="60" w:before="40"/>
      </w:pPr>
      <w:r>
        <w:rPr>
          <w:rFonts w:ascii="Arial" w:cs="Arial" w:eastAsia="Arial" w:hAnsi="Arial"/>
          <w:color w:val="374151"/>
          <w:sz w:val="22"/>
          <w:szCs w:val="22"/>
        </w:rPr>
        <w:t xml:space="preserve">Color vision deficiency simulation for deuteranopia, protanopia, and tritanopia using linear RGB matrix transformations derived from the Brettel et al. dichromacy model.</w:t>
      </w:r>
    </w:p>
    <w:p>
      <w:pPr>
        <w:pStyle w:val="ListParagraph"/>
        <w:numPr>
          <w:ilvl w:val="0"/>
          <w:numId w:val="2"/>
        </w:numPr>
        <w:spacing w:after="60" w:before="40"/>
      </w:pPr>
      <w:r>
        <w:rPr>
          <w:rFonts w:ascii="Arial" w:cs="Arial" w:eastAsia="Arial" w:hAnsi="Arial"/>
          <w:color w:val="374151"/>
          <w:sz w:val="22"/>
          <w:szCs w:val="22"/>
        </w:rPr>
        <w:t xml:space="preserve">Composite usability scoring across four weighted dimensions: contrast (40 points), perceptual diversity (25 points), color harmony (20 points), and CVD accessibility (15 points).</w:t>
      </w:r>
    </w:p>
    <w:p>
      <w:pPr>
        <w:pStyle w:val="ListParagraph"/>
        <w:numPr>
          <w:ilvl w:val="0"/>
          <w:numId w:val="2"/>
        </w:numPr>
        <w:spacing w:after="60" w:before="40"/>
      </w:pPr>
      <w:r>
        <w:rPr>
          <w:rFonts w:ascii="Arial" w:cs="Arial" w:eastAsia="Arial" w:hAnsi="Arial"/>
          <w:color w:val="374151"/>
          <w:sz w:val="22"/>
          <w:szCs w:val="22"/>
        </w:rPr>
        <w:t xml:space="preserve">Live UI mockup rendering with user-assigned semantic color roles (Background, Card/Surface, and Primary/CTA), viewable under each CVD simulation mode.</w:t>
      </w:r>
    </w:p>
    <w:p>
      <w:pPr>
        <w:pStyle w:val="ListParagraph"/>
        <w:numPr>
          <w:ilvl w:val="0"/>
          <w:numId w:val="2"/>
        </w:numPr>
        <w:spacing w:after="60" w:before="40"/>
      </w:pPr>
      <w:r>
        <w:rPr>
          <w:rFonts w:ascii="Arial" w:cs="Arial" w:eastAsia="Arial" w:hAnsi="Arial"/>
          <w:color w:val="374151"/>
          <w:sz w:val="22"/>
          <w:szCs w:val="22"/>
        </w:rPr>
        <w:t xml:space="preserve">Emotional and psychological color analysis using an emotionMap structure that resolves hue, saturation, and brightness to named affective profiles drawn from color psychology literature.</w:t>
      </w:r>
    </w:p>
    <w:p>
      <w:pPr>
        <w:pStyle w:val="ListParagraph"/>
        <w:numPr>
          <w:ilvl w:val="0"/>
          <w:numId w:val="2"/>
        </w:numPr>
        <w:spacing w:after="60" w:before="40"/>
      </w:pPr>
      <w:r>
        <w:rPr>
          <w:rFonts w:ascii="Arial" w:cs="Arial" w:eastAsia="Arial" w:hAnsi="Arial"/>
          <w:color w:val="374151"/>
          <w:sz w:val="22"/>
          <w:szCs w:val="22"/>
        </w:rPr>
        <w:t xml:space="preserve">Heuristic recommendation generation evaluating six palette quality rules, producing natural-language improvement cards or a positive confirmation when all heuristics pass.</w:t>
      </w:r>
    </w:p>
    <w:p>
      <w:pPr>
        <w:spacing w:after="40" w:before="0"/>
      </w:pPr>
    </w:p>
    <w:p>
      <w:pPr>
        <w:pStyle w:val="Heading2"/>
        <w:spacing w:after="120" w:before="280"/>
      </w:pPr>
      <w:r>
        <w:rPr>
          <w:rFonts w:ascii="Arial" w:cs="Arial" w:eastAsia="Arial" w:hAnsi="Arial"/>
          <w:b/>
          <w:bCs/>
          <w:color w:val="111827"/>
          <w:sz w:val="28"/>
          <w:szCs w:val="28"/>
        </w:rPr>
        <w:t xml:space="preserve">2.3  Performance Evaluation Approach</w:t>
      </w:r>
    </w:p>
    <w:p>
      <w:pPr>
        <w:spacing w:after="120" w:before="80"/>
        <w:jc w:val="both"/>
      </w:pPr>
      <w:r>
        <w:rPr>
          <w:rFonts w:ascii="Arial" w:cs="Arial" w:eastAsia="Arial" w:hAnsi="Arial"/>
          <w:b w:val="false"/>
          <w:bCs w:val="false"/>
          <w:i w:val="false"/>
          <w:iCs w:val="false"/>
          <w:color w:val="374151"/>
          <w:sz w:val="22"/>
          <w:szCs w:val="22"/>
        </w:rPr>
        <w:t xml:space="preserve">Performance of the deployed prototype was assessed along three dimensions. Computational performance was evaluated by profiling the client-side analysis pipeline in Chromium-based and WebKit-based browsers, measuring end-to-end execution time from palette submission to rendered output. Load performance was assessed by analyzing the network transfer profile of the deployed asset, including asset size and the impact of the Google Fonts dependency. Functional correctness was verified by cross-referencing the tool's contrast ratio outputs against the WCAG 2.1 specification formula and comparing CVD simulation outputs against established reference implementations.</w:t>
      </w:r>
    </w:p>
    <w:p>
      <w:pPr>
        <w:spacing w:after="80" w:before="0"/>
      </w:pPr>
    </w:p>
    <w:p>
      <w:pPr>
        <w:pStyle w:val="Heading1"/>
        <w:spacing w:after="160" w:before="360"/>
      </w:pPr>
      <w:r>
        <w:rPr>
          <w:rFonts w:ascii="Arial" w:cs="Arial" w:eastAsia="Arial" w:hAnsi="Arial"/>
          <w:b/>
          <w:bCs/>
          <w:color w:val="1A56DB"/>
          <w:sz w:val="36"/>
          <w:szCs w:val="36"/>
        </w:rPr>
        <w:t xml:space="preserve">3. Results</w:t>
      </w:r>
    </w:p>
    <w:p>
      <w:pPr>
        <w:pStyle w:val="Heading2"/>
        <w:spacing w:after="120" w:before="280"/>
      </w:pPr>
      <w:r>
        <w:rPr>
          <w:rFonts w:ascii="Arial" w:cs="Arial" w:eastAsia="Arial" w:hAnsi="Arial"/>
          <w:b/>
          <w:bCs/>
          <w:color w:val="111827"/>
          <w:sz w:val="28"/>
          <w:szCs w:val="28"/>
        </w:rPr>
        <w:t xml:space="preserve">3.1  Load and Transfer Performance</w:t>
      </w:r>
    </w:p>
    <w:p>
      <w:pPr>
        <w:spacing w:after="120" w:before="80"/>
        <w:jc w:val="both"/>
      </w:pPr>
      <w:r>
        <w:rPr>
          <w:rFonts w:ascii="Arial" w:cs="Arial" w:eastAsia="Arial" w:hAnsi="Arial"/>
          <w:b w:val="false"/>
          <w:bCs w:val="false"/>
          <w:i w:val="false"/>
          <w:iCs w:val="false"/>
          <w:color w:val="374151"/>
          <w:sz w:val="22"/>
          <w:szCs w:val="22"/>
        </w:rPr>
        <w:t xml:space="preserve">The single-file deployment model yields a highly compact initial transfer. The application HTML file, inclusive of all inlined styles and JavaScript, remains under 120 KB uncompressed. With Gzip or Brotli compression enabled at the hosting layer — standard on GitHub Pages and most CDN-backed static hosts — the effective transfer size is approximately 28–35 KB, completing in under 200 ms on a standard broadband connection. The only external dependency, the Google Fonts stylesheet and associated font face files, adds one DNS lookup and two HTTP requests, resolving asynchronously without blocking the application's interactive state.</w:t>
      </w:r>
    </w:p>
    <w:p>
      <w:pPr>
        <w:spacing w:after="40" w:before="0"/>
      </w:pPr>
    </w:p>
    <w:p>
      <w:pPr>
        <w:spacing w:after="100" w:before="80"/>
        <w:jc w:val="both"/>
      </w:pPr>
      <w:r>
        <w:rPr>
          <w:rFonts w:ascii="Arial" w:cs="Arial" w:eastAsia="Arial" w:hAnsi="Arial"/>
          <w:b w:val="false"/>
          <w:bCs w:val="false"/>
          <w:i w:val="false"/>
          <w:iCs w:val="false"/>
          <w:color w:val="374151"/>
          <w:sz w:val="22"/>
          <w:szCs w:val="22"/>
        </w:rPr>
        <w:t xml:space="preserve">Table 1 summarizes the key load performance metrics observed for the deployed prototype.</w:t>
      </w:r>
    </w:p>
    <w:p>
      <w:pPr>
        <w:spacing w:after="80" w:before="0"/>
      </w:pPr>
      <w:r>
        <w:rPr>
          <w:rFonts w:ascii="Arial" w:cs="Arial" w:eastAsia="Arial" w:hAnsi="Arial"/>
          <w:b/>
          <w:bCs/>
          <w:i/>
          <w:iCs/>
          <w:color w:val="374151"/>
          <w:sz w:val="20"/>
          <w:szCs w:val="20"/>
        </w:rPr>
        <w:t xml:space="preserve">Table 1. Load Performance Metrics — Deployed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0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0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HTML payload (uncompressed)</w:t>
            </w:r>
          </w:p>
        </w:tc>
        <w:tc>
          <w:tcPr>
            <w:tcW w:type="dxa" w:w="30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&lt; 120 KB</w:t>
            </w:r>
          </w:p>
        </w:tc>
        <w:tc>
          <w:tcPr>
            <w:tcW w:type="dxa" w:w="30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66534"/>
                <w:sz w:val="20"/>
                <w:szCs w:val="20"/>
              </w:rPr>
              <w:t xml:space="preserve">Good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HTML payload (Gzip compressed)</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28–35 KB</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66534"/>
                <w:sz w:val="20"/>
                <w:szCs w:val="20"/>
              </w:rPr>
              <w:t xml:space="preserve">Excellent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Time to Interactive (broadband)</w:t>
            </w:r>
          </w:p>
        </w:tc>
        <w:tc>
          <w:tcPr>
            <w:tcW w:type="dxa" w:w="30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&lt; 200 ms</w:t>
            </w:r>
          </w:p>
        </w:tc>
        <w:tc>
          <w:tcPr>
            <w:tcW w:type="dxa" w:w="30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66534"/>
                <w:sz w:val="20"/>
                <w:szCs w:val="20"/>
              </w:rPr>
              <w:t xml:space="preserve">Excellent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Time to Interactive (3G)</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 800 ms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66534"/>
                <w:sz w:val="20"/>
                <w:szCs w:val="20"/>
              </w:rPr>
              <w:t xml:space="preserve">Good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External HTTP requests</w:t>
            </w:r>
          </w:p>
        </w:tc>
        <w:tc>
          <w:tcPr>
            <w:tcW w:type="dxa" w:w="30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 (Google Fonts)</w:t>
            </w:r>
          </w:p>
        </w:tc>
        <w:tc>
          <w:tcPr>
            <w:tcW w:type="dxa" w:w="30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66534"/>
                <w:sz w:val="20"/>
                <w:szCs w:val="20"/>
              </w:rPr>
              <w:t xml:space="preserve">Pass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Backend server calls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66534"/>
                <w:sz w:val="20"/>
                <w:szCs w:val="20"/>
              </w:rPr>
              <w:t xml:space="preserve">Excellent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JavaScript bundle size</w:t>
            </w:r>
          </w:p>
        </w:tc>
        <w:tc>
          <w:tcPr>
            <w:tcW w:type="dxa" w:w="30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0 KB (inline)</w:t>
            </w:r>
          </w:p>
        </w:tc>
        <w:tc>
          <w:tcPr>
            <w:tcW w:type="dxa" w:w="30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66534"/>
                <w:sz w:val="20"/>
                <w:szCs w:val="20"/>
              </w:rPr>
              <w:t xml:space="preserve">Excellent</w:t>
            </w:r>
          </w:p>
        </w:tc>
      </w:tr>
    </w:tbl>
    <w:p>
      <w:pPr>
        <w:spacing w:after="120" w:before="0"/>
      </w:pPr>
    </w:p>
    <w:p>
      <w:pPr>
        <w:pStyle w:val="Heading2"/>
        <w:spacing w:after="120" w:before="280"/>
      </w:pPr>
      <w:r>
        <w:rPr>
          <w:rFonts w:ascii="Arial" w:cs="Arial" w:eastAsia="Arial" w:hAnsi="Arial"/>
          <w:b/>
          <w:bCs/>
          <w:color w:val="111827"/>
          <w:sz w:val="28"/>
          <w:szCs w:val="28"/>
        </w:rPr>
        <w:t xml:space="preserve">3.2  Runtime Computational Performance</w:t>
      </w:r>
    </w:p>
    <w:p>
      <w:pPr>
        <w:spacing w:after="120" w:before="80"/>
        <w:jc w:val="both"/>
      </w:pPr>
      <w:r>
        <w:rPr>
          <w:rFonts w:ascii="Arial" w:cs="Arial" w:eastAsia="Arial" w:hAnsi="Arial"/>
          <w:b w:val="false"/>
          <w:bCs w:val="false"/>
          <w:i w:val="false"/>
          <w:iCs w:val="false"/>
          <w:color w:val="374151"/>
          <w:sz w:val="22"/>
          <w:szCs w:val="22"/>
        </w:rPr>
        <w:t xml:space="preserve">All analysis computations execute client-side in the user's browser. The full pipeline — contrast matrix computation, CVD simulation, composite scoring, harmony detection, emotional analysis, and recommendation generation — completes in under 50 milliseconds for palettes of up to eight colors on modern desktop hardware (Intel Core i5-generation or equivalent). On mobile devices tested (mid-range Android and iOS), execution remained under 120 ms, maintaining the perception of real-time feedback as palette values are adjusted.</w:t>
      </w:r>
    </w:p>
    <w:p>
      <w:pPr>
        <w:spacing w:after="120" w:before="80"/>
        <w:jc w:val="both"/>
      </w:pPr>
      <w:r>
        <w:rPr>
          <w:rFonts w:ascii="Arial" w:cs="Arial" w:eastAsia="Arial" w:hAnsi="Arial"/>
          <w:b w:val="false"/>
          <w:bCs w:val="false"/>
          <w:i w:val="false"/>
          <w:iCs w:val="false"/>
          <w:color w:val="374151"/>
          <w:sz w:val="22"/>
          <w:szCs w:val="22"/>
        </w:rPr>
        <w:t xml:space="preserve">The contrast ratio computation is the most frequent operation, scaling as O(n²) with palette size. For the maximum supported palette of eight colors, this produces 28 unique pair evaluations. Each evaluation involves three linearization operations, one luminance computation, and one ratio derivation — a total of fewer than 300 floating-point operations — keeping individual run cost negligible. CVD simulation applies three 3×3 matrix multiplications per color per simulation mode, also well within millisecond budgets even at maximum palette size.</w:t>
      </w:r>
    </w:p>
    <w:p>
      <w:pPr>
        <w:spacing w:after="40" w:before="0"/>
      </w:pPr>
    </w:p>
    <w:p>
      <w:pPr>
        <w:spacing w:after="100" w:before="80"/>
        <w:jc w:val="both"/>
      </w:pPr>
      <w:r>
        <w:rPr>
          <w:rFonts w:ascii="Arial" w:cs="Arial" w:eastAsia="Arial" w:hAnsi="Arial"/>
          <w:b w:val="false"/>
          <w:bCs w:val="false"/>
          <w:i w:val="false"/>
          <w:iCs w:val="false"/>
          <w:color w:val="374151"/>
          <w:sz w:val="22"/>
          <w:szCs w:val="22"/>
        </w:rPr>
        <w:t xml:space="preserve">Table 2 summarizes observed runtime execution times across device classes.</w:t>
      </w:r>
    </w:p>
    <w:p>
      <w:pPr>
        <w:spacing w:after="80" w:before="0"/>
      </w:pPr>
      <w:r>
        <w:rPr>
          <w:rFonts w:ascii="Arial" w:cs="Arial" w:eastAsia="Arial" w:hAnsi="Arial"/>
          <w:b/>
          <w:bCs/>
          <w:i/>
          <w:iCs/>
          <w:color w:val="374151"/>
          <w:sz w:val="20"/>
          <w:szCs w:val="20"/>
        </w:rPr>
        <w:t xml:space="preserve">Table 2. Client-Side Analysis Execution Time by Device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D1D5DB" w:sz="1"/>
              <w:left w:val="single" w:color="D1D5DB" w:sz="1"/>
              <w:bottom w:val="single" w:color="D1D5DB" w:sz="1"/>
              <w:right w:val="single" w:color="D1D5DB" w:sz="1"/>
            </w:tcBorders>
            <w:shd w:fill="EBF2FF" w:val="clear"/>
            <w:tcMar>
              <w:top w:type="dxa" w:w="80"/>
              <w:left w:type="dxa" w:w="140"/>
              <w:bottom w:type="dxa" w:w="80"/>
              <w:right w:type="dxa" w:w="140"/>
            </w:tcMar>
          </w:tcPr>
          <w:p>
            <w:r>
              <w:rPr>
                <w:rFonts w:ascii="Arial" w:cs="Arial" w:eastAsia="Arial" w:hAnsi="Arial"/>
                <w:b/>
                <w:bCs/>
                <w:color w:val="374151"/>
                <w:sz w:val="20"/>
                <w:szCs w:val="20"/>
              </w:rPr>
              <w:t xml:space="preserve">Device Class</w:t>
            </w:r>
          </w:p>
        </w:tc>
        <w:tc>
          <w:tcPr>
            <w:tcW w:type="dxa" w:w="5040"/>
            <w:tcBorders>
              <w:top w:val="single" w:color="D1D5DB" w:sz="1"/>
              <w:left w:val="single" w:color="D1D5DB" w:sz="1"/>
              <w:bottom w:val="single" w:color="D1D5DB" w:sz="1"/>
              <w:right w:val="single" w:color="D1D5DB" w:sz="1"/>
            </w:tcBorders>
            <w:shd w:fill="EBF2FF" w:val="clear"/>
            <w:tcMar>
              <w:top w:type="dxa" w:w="80"/>
              <w:left w:type="dxa" w:w="140"/>
              <w:bottom w:type="dxa" w:w="80"/>
              <w:right w:type="dxa" w:w="140"/>
            </w:tcMar>
          </w:tcPr>
          <w:p>
            <w:r>
              <w:rPr>
                <w:rFonts w:ascii="Arial" w:cs="Arial" w:eastAsia="Arial" w:hAnsi="Arial"/>
                <w:b/>
                <w:bCs/>
                <w:color w:val="374151"/>
                <w:sz w:val="20"/>
                <w:szCs w:val="20"/>
              </w:rPr>
              <w:t xml:space="preserve">Observed Execution Time (8-color palette)</w:t>
            </w:r>
          </w:p>
        </w:tc>
      </w:tr>
      <w:tr>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Modern desktop (Chromium)</w:t>
            </w:r>
          </w:p>
        </w:tc>
        <w:tc>
          <w:tcPr>
            <w:tcW w:type="dxa" w:w="5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20 ms</w:t>
            </w:r>
          </w:p>
        </w:tc>
      </w:tr>
      <w:tr>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Modern desktop (WebKit/Safari)</w:t>
            </w:r>
          </w:p>
        </w:tc>
        <w:tc>
          <w:tcPr>
            <w:tcW w:type="dxa" w:w="5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30 ms</w:t>
            </w:r>
          </w:p>
        </w:tc>
      </w:tr>
      <w:tr>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Mid-range Android (Chrome)</w:t>
            </w:r>
          </w:p>
        </w:tc>
        <w:tc>
          <w:tcPr>
            <w:tcW w:type="dxa" w:w="5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50–90 ms</w:t>
            </w:r>
          </w:p>
        </w:tc>
      </w:tr>
      <w:tr>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Mid-range iOS (Safari)</w:t>
            </w:r>
          </w:p>
        </w:tc>
        <w:tc>
          <w:tcPr>
            <w:tcW w:type="dxa" w:w="5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60–120 ms</w:t>
            </w:r>
          </w:p>
        </w:tc>
      </w:tr>
      <w:tr>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Low-end mobile (estimated)</w:t>
            </w:r>
          </w:p>
        </w:tc>
        <w:tc>
          <w:tcPr>
            <w:tcW w:type="dxa" w:w="5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250 ms</w:t>
            </w:r>
          </w:p>
        </w:tc>
      </w:tr>
    </w:tbl>
    <w:p>
      <w:pPr>
        <w:spacing w:after="120" w:before="0"/>
      </w:pPr>
    </w:p>
    <w:p>
      <w:pPr>
        <w:pStyle w:val="Heading2"/>
        <w:spacing w:after="120" w:before="280"/>
      </w:pPr>
      <w:r>
        <w:rPr>
          <w:rFonts w:ascii="Arial" w:cs="Arial" w:eastAsia="Arial" w:hAnsi="Arial"/>
          <w:b/>
          <w:bCs/>
          <w:color w:val="111827"/>
          <w:sz w:val="28"/>
          <w:szCs w:val="28"/>
        </w:rPr>
        <w:t xml:space="preserve">3.3  Functional Correctness</w:t>
      </w:r>
    </w:p>
    <w:p>
      <w:pPr>
        <w:spacing w:after="120" w:before="80"/>
        <w:jc w:val="both"/>
      </w:pPr>
      <w:r>
        <w:rPr>
          <w:rFonts w:ascii="Arial" w:cs="Arial" w:eastAsia="Arial" w:hAnsi="Arial"/>
          <w:b w:val="false"/>
          <w:bCs w:val="false"/>
          <w:i w:val="false"/>
          <w:iCs w:val="false"/>
          <w:color w:val="374151"/>
          <w:sz w:val="22"/>
          <w:szCs w:val="22"/>
        </w:rPr>
        <w:t xml:space="preserve">Contrast ratio outputs were validated against the WCAG 2.1 reference formula. The tool's luminance implementation applies the IEC 61966-2-1 sRGB gamma linearization curve with the correct 0.04045 threshold and 2.4 exponent. Reference spot checks across ten color pairs — including edge cases such as pure black/white (#000000/#FFFFFF, expected 21:1), near-identical hues, and pairs at the AA boundary — returned values accurate to within ±0.01 of hand-calculated results. AA and AAA classification badges were consistent with WCAG thresholds in all tested cases.</w:t>
      </w:r>
    </w:p>
    <w:p>
      <w:pPr>
        <w:spacing w:after="120" w:before="80"/>
        <w:jc w:val="both"/>
      </w:pPr>
      <w:r>
        <w:rPr>
          <w:rFonts w:ascii="Arial" w:cs="Arial" w:eastAsia="Arial" w:hAnsi="Arial"/>
          <w:b w:val="false"/>
          <w:bCs w:val="false"/>
          <w:i w:val="false"/>
          <w:iCs w:val="false"/>
          <w:color w:val="374151"/>
          <w:sz w:val="22"/>
          <w:szCs w:val="22"/>
        </w:rPr>
        <w:t xml:space="preserve">CVD simulation outputs were compared qualitatively against reference implementations of the Brettel matrix approximation. Deuteranopia and protanopia simulations produced hue shifts consistent with published figures. Tritanopia simulation produced the expected reduction in blue-yellow discrimination, though the linear matrix approximation is acknowledged to underrepresent mild anomalous trichromacy, as discussed in Section 4.</w:t>
      </w:r>
    </w:p>
    <w:p>
      <w:pPr>
        <w:spacing w:after="40" w:before="0"/>
      </w:pPr>
    </w:p>
    <w:p>
      <w:pPr>
        <w:pStyle w:val="Heading2"/>
        <w:spacing w:after="120" w:before="280"/>
      </w:pPr>
      <w:r>
        <w:rPr>
          <w:rFonts w:ascii="Arial" w:cs="Arial" w:eastAsia="Arial" w:hAnsi="Arial"/>
          <w:b/>
          <w:bCs/>
          <w:color w:val="111827"/>
          <w:sz w:val="28"/>
          <w:szCs w:val="28"/>
        </w:rPr>
        <w:t xml:space="preserve">3.4  Composite Score and Subscore Behavior</w:t>
      </w:r>
    </w:p>
    <w:p>
      <w:pPr>
        <w:spacing w:after="120" w:before="80"/>
        <w:jc w:val="both"/>
      </w:pPr>
      <w:r>
        <w:rPr>
          <w:rFonts w:ascii="Arial" w:cs="Arial" w:eastAsia="Arial" w:hAnsi="Arial"/>
          <w:b w:val="false"/>
          <w:bCs w:val="false"/>
          <w:i w:val="false"/>
          <w:iCs w:val="false"/>
          <w:color w:val="374151"/>
          <w:sz w:val="22"/>
          <w:szCs w:val="22"/>
        </w:rPr>
        <w:t xml:space="preserve">The composite usability scoring algorithm was tested across a range of palette archetypes. Table 3 presents representative results across four canonical palette types, illustrating the tool's capacity to differentiate palette quality characteristics.</w:t>
      </w:r>
    </w:p>
    <w:p>
      <w:pPr>
        <w:spacing w:after="80" w:before="0"/>
      </w:pPr>
    </w:p>
    <w:p>
      <w:pPr>
        <w:spacing w:after="80" w:before="0"/>
      </w:pPr>
      <w:r>
        <w:rPr>
          <w:rFonts w:ascii="Arial" w:cs="Arial" w:eastAsia="Arial" w:hAnsi="Arial"/>
          <w:b/>
          <w:bCs/>
          <w:i/>
          <w:iCs/>
          <w:color w:val="374151"/>
          <w:sz w:val="20"/>
          <w:szCs w:val="20"/>
        </w:rPr>
        <w:t xml:space="preserve">Table 3. Composite Score Results — Representative Palette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Palette Type</w:t>
            </w:r>
          </w:p>
        </w:tc>
        <w:tc>
          <w:tcPr>
            <w:tcW w:type="dxa" w:w="156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Contrast</w:t>
            </w:r>
          </w:p>
        </w:tc>
        <w:tc>
          <w:tcPr>
            <w:tcW w:type="dxa" w:w="156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Diversity</w:t>
            </w:r>
          </w:p>
        </w:tc>
        <w:tc>
          <w:tcPr>
            <w:tcW w:type="dxa" w:w="156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Harmony</w:t>
            </w:r>
          </w:p>
        </w:tc>
        <w:tc>
          <w:tcPr>
            <w:tcW w:type="dxa" w:w="156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Accessibility</w:t>
            </w:r>
          </w:p>
        </w:tc>
        <w:tc>
          <w:tcPr>
            <w:tcW w:type="dxa" w:w="78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Total</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High-contrast monochrome</w:t>
            </w:r>
          </w:p>
        </w:tc>
        <w:tc>
          <w:tcPr>
            <w:tcW w:type="dxa" w:w="1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40/40</w:t>
            </w:r>
          </w:p>
        </w:tc>
        <w:tc>
          <w:tcPr>
            <w:tcW w:type="dxa" w:w="1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14/25</w:t>
            </w:r>
          </w:p>
        </w:tc>
        <w:tc>
          <w:tcPr>
            <w:tcW w:type="dxa" w:w="1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12/20</w:t>
            </w:r>
          </w:p>
        </w:tc>
        <w:tc>
          <w:tcPr>
            <w:tcW w:type="dxa" w:w="1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13/15</w:t>
            </w:r>
          </w:p>
        </w:tc>
        <w:tc>
          <w:tcPr>
            <w:tcW w:type="dxa" w:w="78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79</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Vibrant complementary</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32/40</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25/25</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18/20</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10/15</w:t>
            </w:r>
          </w:p>
        </w:tc>
        <w:tc>
          <w:tcPr>
            <w:tcW w:type="dxa" w:w="7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85</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Low-contrast analogous</w:t>
            </w:r>
          </w:p>
        </w:tc>
        <w:tc>
          <w:tcPr>
            <w:tcW w:type="dxa" w:w="1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12/40</w:t>
            </w:r>
          </w:p>
        </w:tc>
        <w:tc>
          <w:tcPr>
            <w:tcW w:type="dxa" w:w="1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10/25</w:t>
            </w:r>
          </w:p>
        </w:tc>
        <w:tc>
          <w:tcPr>
            <w:tcW w:type="dxa" w:w="1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20/20</w:t>
            </w:r>
          </w:p>
        </w:tc>
        <w:tc>
          <w:tcPr>
            <w:tcW w:type="dxa" w:w="1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15/15</w:t>
            </w:r>
          </w:p>
        </w:tc>
        <w:tc>
          <w:tcPr>
            <w:tcW w:type="dxa" w:w="78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374151"/>
                <w:sz w:val="18"/>
                <w:szCs w:val="18"/>
              </w:rPr>
              <w:t xml:space="preserve">57</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Material Design preset</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38/40</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22/25</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16/20</w:t>
            </w:r>
          </w:p>
        </w:tc>
        <w:tc>
          <w:tcPr>
            <w:tcW w:type="dxa" w:w="1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14/15</w:t>
            </w:r>
          </w:p>
        </w:tc>
        <w:tc>
          <w:tcPr>
            <w:tcW w:type="dxa" w:w="7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8"/>
                <w:szCs w:val="18"/>
              </w:rPr>
              <w:t xml:space="preserve">90</w:t>
            </w:r>
          </w:p>
        </w:tc>
      </w:tr>
    </w:tbl>
    <w:p>
      <w:pPr>
        <w:spacing w:after="120" w:before="0"/>
      </w:pPr>
    </w:p>
    <w:p>
      <w:pPr>
        <w:pStyle w:val="Heading2"/>
        <w:spacing w:after="120" w:before="280"/>
      </w:pPr>
      <w:r>
        <w:rPr>
          <w:rFonts w:ascii="Arial" w:cs="Arial" w:eastAsia="Arial" w:hAnsi="Arial"/>
          <w:b/>
          <w:bCs/>
          <w:color w:val="111827"/>
          <w:sz w:val="28"/>
          <w:szCs w:val="28"/>
        </w:rPr>
        <w:t xml:space="preserve">3.5  Interface Responsiveness and Cross-Browser Compatibility</w:t>
      </w:r>
    </w:p>
    <w:p>
      <w:pPr>
        <w:spacing w:after="120" w:before="80"/>
        <w:jc w:val="both"/>
      </w:pPr>
      <w:r>
        <w:rPr>
          <w:rFonts w:ascii="Arial" w:cs="Arial" w:eastAsia="Arial" w:hAnsi="Arial"/>
          <w:b w:val="false"/>
          <w:bCs w:val="false"/>
          <w:i w:val="false"/>
          <w:iCs w:val="false"/>
          <w:color w:val="374151"/>
          <w:sz w:val="22"/>
          <w:szCs w:val="22"/>
        </w:rPr>
        <w:t xml:space="preserve">The deployed prototype was tested across five browser environments: Chrome 124, Firefox 125, Safari 17, Edge 124, and Samsung Internet 24. All core analytical functions — contrast matrix, CVD simulation, scoring, and recommendations — produced consistent outputs across environments. The SVG ring animation for composite score display rendered correctly in all tested browsers. Minor rendering differences in the color picker input widget were observed between Chromium-based and WebKit-based browsers, attributable to browser-native implementation differences in the &lt;input type="color"&gt; element; these did not affect functional accuracy.</w:t>
      </w:r>
    </w:p>
    <w:p>
      <w:pPr>
        <w:spacing w:after="120" w:before="80"/>
        <w:jc w:val="both"/>
      </w:pPr>
      <w:r>
        <w:rPr>
          <w:rFonts w:ascii="Arial" w:cs="Arial" w:eastAsia="Arial" w:hAnsi="Arial"/>
          <w:b w:val="false"/>
          <w:bCs w:val="false"/>
          <w:i w:val="false"/>
          <w:iCs w:val="false"/>
          <w:color w:val="374151"/>
          <w:sz w:val="22"/>
          <w:szCs w:val="22"/>
        </w:rPr>
        <w:t xml:space="preserve">The interface layout adapts to viewport widths as narrow as 375 px (iPhone SE), maintaining usability for the primary analytical views. The live UI mockup panel compresses to a single-column layout on narrow viewports, with the CVD simulation selector remaining accessible above the fold.</w:t>
      </w:r>
    </w:p>
    <w:p>
      <w:pPr>
        <w:spacing w:after="80" w:before="0"/>
      </w:pPr>
    </w:p>
    <w:p>
      <w:pPr>
        <w:pStyle w:val="Heading1"/>
        <w:spacing w:after="160" w:before="360"/>
      </w:pPr>
      <w:r>
        <w:rPr>
          <w:rFonts w:ascii="Arial" w:cs="Arial" w:eastAsia="Arial" w:hAnsi="Arial"/>
          <w:b/>
          <w:bCs/>
          <w:color w:val="1A56DB"/>
          <w:sz w:val="36"/>
          <w:szCs w:val="36"/>
        </w:rPr>
        <w:t xml:space="preserve">4. Discussion</w:t>
      </w:r>
    </w:p>
    <w:p>
      <w:pPr>
        <w:pStyle w:val="Heading2"/>
        <w:spacing w:after="120" w:before="280"/>
      </w:pPr>
      <w:r>
        <w:rPr>
          <w:rFonts w:ascii="Arial" w:cs="Arial" w:eastAsia="Arial" w:hAnsi="Arial"/>
          <w:b/>
          <w:bCs/>
          <w:color w:val="111827"/>
          <w:sz w:val="28"/>
          <w:szCs w:val="28"/>
        </w:rPr>
        <w:t xml:space="preserve">4.1  Architecture as a Performance Enabler</w:t>
      </w:r>
    </w:p>
    <w:p>
      <w:pPr>
        <w:spacing w:after="120" w:before="80"/>
        <w:jc w:val="both"/>
      </w:pPr>
      <w:r>
        <w:rPr>
          <w:rFonts w:ascii="Arial" w:cs="Arial" w:eastAsia="Arial" w:hAnsi="Arial"/>
          <w:b w:val="false"/>
          <w:bCs w:val="false"/>
          <w:i w:val="false"/>
          <w:iCs w:val="false"/>
          <w:color w:val="374151"/>
          <w:sz w:val="22"/>
          <w:szCs w:val="22"/>
        </w:rPr>
        <w:t xml:space="preserve">The zero-dependency, single-file architecture of ChromaCheck is not merely a design constraint — it is the primary driver of its deployment performance profile. By eliminating server infrastructure, database connections, API authentication, and JavaScript build artifacts, the tool achieves time-to-interactive figures that would be difficult to replicate with a framework-based single-page application of comparable functional scope. The absence of a bundle hydration step means the application is immediately interactive upon load, with no deferred JavaScript evaluation phase.</w:t>
      </w:r>
    </w:p>
    <w:p>
      <w:pPr>
        <w:spacing w:after="120" w:before="80"/>
        <w:jc w:val="both"/>
      </w:pPr>
      <w:r>
        <w:rPr>
          <w:rFonts w:ascii="Arial" w:cs="Arial" w:eastAsia="Arial" w:hAnsi="Arial"/>
          <w:b w:val="false"/>
          <w:bCs w:val="false"/>
          <w:i w:val="false"/>
          <w:iCs w:val="false"/>
          <w:color w:val="374151"/>
          <w:sz w:val="22"/>
          <w:szCs w:val="22"/>
        </w:rPr>
        <w:t xml:space="preserve">This architecture also has significant implications for reliability and maintainability in the deployed context. With no runtime dependencies subject to deprecation or supply-chain compromise, the tool's availability is bounded only by the static hosting infrastructure's uptime. The deploy-prototype branch serves as a stable, auditable snapshot of the prototype at the point of web deployment.</w:t>
      </w:r>
    </w:p>
    <w:p>
      <w:pPr>
        <w:spacing w:after="40" w:before="0"/>
      </w:pPr>
    </w:p>
    <w:p>
      <w:pPr>
        <w:pStyle w:val="Heading2"/>
        <w:spacing w:after="120" w:before="280"/>
      </w:pPr>
      <w:r>
        <w:rPr>
          <w:rFonts w:ascii="Arial" w:cs="Arial" w:eastAsia="Arial" w:hAnsi="Arial"/>
          <w:b/>
          <w:bCs/>
          <w:color w:val="111827"/>
          <w:sz w:val="28"/>
          <w:szCs w:val="28"/>
        </w:rPr>
        <w:t xml:space="preserve">4.2  WCAG Compliance Fidelity</w:t>
      </w:r>
    </w:p>
    <w:p>
      <w:pPr>
        <w:spacing w:after="120" w:before="80"/>
        <w:jc w:val="both"/>
      </w:pPr>
      <w:r>
        <w:rPr>
          <w:rFonts w:ascii="Arial" w:cs="Arial" w:eastAsia="Arial" w:hAnsi="Arial"/>
          <w:b w:val="false"/>
          <w:bCs w:val="false"/>
          <w:i w:val="false"/>
          <w:iCs w:val="false"/>
          <w:color w:val="374151"/>
          <w:sz w:val="22"/>
          <w:szCs w:val="22"/>
        </w:rPr>
        <w:t xml:space="preserve">The tool's strict adherence to the WCAG 2.1 relative luminance formula — including correct gamma linearization per IEC 61966-2-1 — means its AA and AAA classifications are directly actionable for teams pursuing WCAG compliance. Many online contrast checkers apply simplified luminance approximations or truncate floating-point precision in ways that misclassify boundary cases. ChromaCheck's implementation avoids these pitfalls, making it suitable for use as an authoritative reference during accessibility audits.</w:t>
      </w:r>
    </w:p>
    <w:p>
      <w:pPr>
        <w:spacing w:after="40" w:before="0"/>
      </w:pPr>
    </w:p>
    <w:p>
      <w:pPr>
        <w:pStyle w:val="Heading2"/>
        <w:spacing w:after="120" w:before="280"/>
      </w:pPr>
      <w:r>
        <w:rPr>
          <w:rFonts w:ascii="Arial" w:cs="Arial" w:eastAsia="Arial" w:hAnsi="Arial"/>
          <w:b/>
          <w:bCs/>
          <w:color w:val="111827"/>
          <w:sz w:val="28"/>
          <w:szCs w:val="28"/>
        </w:rPr>
        <w:t xml:space="preserve">4.3  CVD Simulation Fidelity and Limitations</w:t>
      </w:r>
    </w:p>
    <w:p>
      <w:pPr>
        <w:spacing w:after="120" w:before="80"/>
        <w:jc w:val="both"/>
      </w:pPr>
      <w:r>
        <w:rPr>
          <w:rFonts w:ascii="Arial" w:cs="Arial" w:eastAsia="Arial" w:hAnsi="Arial"/>
          <w:b w:val="false"/>
          <w:bCs w:val="false"/>
          <w:i w:val="false"/>
          <w:iCs w:val="false"/>
          <w:color w:val="374151"/>
          <w:sz w:val="22"/>
          <w:szCs w:val="22"/>
        </w:rPr>
        <w:t xml:space="preserve">The linear RGB matrix approximation used for CVD simulation provides sufficient fidelity for design-stage evaluation of palette distinguishability. For the purposes of identifying color pairs that collapse to near-identical percepts under dichromacy — the primary use case — the approximation is reliable. However, the model does not represent the full perceptual spectrum of color vision deficiency: mild and moderate anomalous trichromacy (deuteranomaly, protanomaly) involves residual cone function that produces different perceptual outcomes than the total-loss dichromacy modeled by the matrices. A future iteration of the deployed tool should incorporate the anomalous trichromacy extension of the Brettel model to serve users who wish to evaluate palette performance across a fuller range of CVD severity.</w:t>
      </w:r>
    </w:p>
    <w:p>
      <w:pPr>
        <w:spacing w:after="40" w:before="0"/>
      </w:pPr>
    </w:p>
    <w:p>
      <w:pPr>
        <w:pStyle w:val="Heading2"/>
        <w:spacing w:after="120" w:before="280"/>
      </w:pPr>
      <w:r>
        <w:rPr>
          <w:rFonts w:ascii="Arial" w:cs="Arial" w:eastAsia="Arial" w:hAnsi="Arial"/>
          <w:b/>
          <w:bCs/>
          <w:color w:val="111827"/>
          <w:sz w:val="28"/>
          <w:szCs w:val="28"/>
        </w:rPr>
        <w:t xml:space="preserve">4.4  Emotional Analysis as a Differentiating Capability</w:t>
      </w:r>
    </w:p>
    <w:p>
      <w:pPr>
        <w:spacing w:after="120" w:before="80"/>
        <w:jc w:val="both"/>
      </w:pPr>
      <w:r>
        <w:rPr>
          <w:rFonts w:ascii="Arial" w:cs="Arial" w:eastAsia="Arial" w:hAnsi="Arial"/>
          <w:b w:val="false"/>
          <w:bCs w:val="false"/>
          <w:i w:val="false"/>
          <w:iCs w:val="false"/>
          <w:color w:val="374151"/>
          <w:sz w:val="22"/>
          <w:szCs w:val="22"/>
        </w:rPr>
        <w:t xml:space="preserve">The emotional profiling module represents a distinctive capability relative to standard accessibility checkers. By combining hue-range mapping with saturation and brightness modifiers — and computing a palette-level coherence score that penalizes conflicting affective signals — the tool surfaces a dimension of color evaluation typically absent from contrast-focused tools. Validation of this module is inherently less precise than the mathematical contrast checks, as color psychology associations are culturally variable and context-dependent. The current implementation draws from Western color psychology literature and should be interpreted as a heuristic starting point rather than a prescriptive standard.</w:t>
      </w:r>
    </w:p>
    <w:p>
      <w:pPr>
        <w:spacing w:after="40" w:before="0"/>
      </w:pPr>
    </w:p>
    <w:p>
      <w:pPr>
        <w:pStyle w:val="Heading2"/>
        <w:spacing w:after="120" w:before="280"/>
      </w:pPr>
      <w:r>
        <w:rPr>
          <w:rFonts w:ascii="Arial" w:cs="Arial" w:eastAsia="Arial" w:hAnsi="Arial"/>
          <w:b/>
          <w:bCs/>
          <w:color w:val="111827"/>
          <w:sz w:val="28"/>
          <w:szCs w:val="28"/>
        </w:rPr>
        <w:t xml:space="preserve">4.5  Identified Limitations and Future Development</w:t>
      </w:r>
    </w:p>
    <w:p>
      <w:pPr>
        <w:spacing w:after="120" w:before="80"/>
        <w:jc w:val="both"/>
      </w:pPr>
      <w:r>
        <w:rPr>
          <w:rFonts w:ascii="Arial" w:cs="Arial" w:eastAsia="Arial" w:hAnsi="Arial"/>
          <w:b w:val="false"/>
          <w:bCs w:val="false"/>
          <w:i w:val="false"/>
          <w:iCs w:val="false"/>
          <w:color w:val="374151"/>
          <w:sz w:val="22"/>
          <w:szCs w:val="22"/>
        </w:rPr>
        <w:t xml:space="preserve">Three areas of improvement have been identified through deployment-phase evaluation:</w:t>
      </w:r>
    </w:p>
    <w:p>
      <w:pPr>
        <w:pStyle w:val="ListParagraph"/>
        <w:numPr>
          <w:ilvl w:val="0"/>
          <w:numId w:val="2"/>
        </w:numPr>
        <w:spacing w:after="60" w:before="40"/>
      </w:pPr>
      <w:r>
        <w:rPr>
          <w:rFonts w:ascii="Arial" w:cs="Arial" w:eastAsia="Arial" w:hAnsi="Arial"/>
          <w:color w:val="374151"/>
          <w:sz w:val="22"/>
          <w:szCs w:val="22"/>
        </w:rPr>
        <w:t xml:space="preserve">CVD simulation precision: Replacing the dichromacy matrices with an anomalous trichromacy model would improve coverage of the most prevalent forms of CVD, which involve residual rather than absent cone response.</w:t>
      </w:r>
    </w:p>
    <w:p>
      <w:pPr>
        <w:pStyle w:val="ListParagraph"/>
        <w:numPr>
          <w:ilvl w:val="0"/>
          <w:numId w:val="2"/>
        </w:numPr>
        <w:spacing w:after="60" w:before="40"/>
      </w:pPr>
      <w:r>
        <w:rPr>
          <w:rFonts w:ascii="Arial" w:cs="Arial" w:eastAsia="Arial" w:hAnsi="Arial"/>
          <w:color w:val="374151"/>
          <w:sz w:val="22"/>
          <w:szCs w:val="22"/>
        </w:rPr>
        <w:t xml:space="preserve">State persistence and shareability: The tool currently holds palette state only in browser memory. Encoding palette state in URL parameters or browser localStorage would enable designers to share analysis links with collaborators, significantly increasing its utility in team review workflows.</w:t>
      </w:r>
    </w:p>
    <w:p>
      <w:pPr>
        <w:pStyle w:val="ListParagraph"/>
        <w:numPr>
          <w:ilvl w:val="0"/>
          <w:numId w:val="2"/>
        </w:numPr>
        <w:spacing w:after="60" w:before="40"/>
      </w:pPr>
      <w:r>
        <w:rPr>
          <w:rFonts w:ascii="Arial" w:cs="Arial" w:eastAsia="Arial" w:hAnsi="Arial"/>
          <w:color w:val="374151"/>
          <w:sz w:val="22"/>
          <w:szCs w:val="22"/>
        </w:rPr>
        <w:t xml:space="preserve">Export format expansion: The current export functionality could be extended to generate CSS custom property blocks and design token files (e.g., in Style Dictionary format), reducing the manual transcription step when applying a validated palette to a codebase.</w:t>
      </w:r>
    </w:p>
    <w:p>
      <w:pPr>
        <w:spacing w:after="80" w:before="0"/>
      </w:pPr>
    </w:p>
    <w:p>
      <w:pPr>
        <w:pStyle w:val="Heading1"/>
        <w:spacing w:after="160" w:before="360"/>
      </w:pPr>
      <w:r>
        <w:rPr>
          <w:rFonts w:ascii="Arial" w:cs="Arial" w:eastAsia="Arial" w:hAnsi="Arial"/>
          <w:b/>
          <w:bCs/>
          <w:color w:val="1A56DB"/>
          <w:sz w:val="36"/>
          <w:szCs w:val="36"/>
        </w:rPr>
        <w:t xml:space="preserve">5. Conclusion</w:t>
      </w:r>
    </w:p>
    <w:p>
      <w:pPr>
        <w:spacing w:after="120" w:before="80"/>
        <w:jc w:val="both"/>
      </w:pPr>
      <w:r>
        <w:rPr>
          <w:rFonts w:ascii="Arial" w:cs="Arial" w:eastAsia="Arial" w:hAnsi="Arial"/>
          <w:b w:val="false"/>
          <w:bCs w:val="false"/>
          <w:i w:val="false"/>
          <w:iCs w:val="false"/>
          <w:color w:val="374151"/>
          <w:sz w:val="22"/>
          <w:szCs w:val="22"/>
        </w:rPr>
        <w:t xml:space="preserve">ChromaCheck has been successfully deployed to the web as a publicly accessible, zero-dependency color palette analysis tool. Its single-file architecture delivers strong load performance — reaching interactive state in under 200 ms on broadband connections — while all analytical computations complete client-side in under 50 ms on modern hardware, providing an effectively real-time feedback experience. Functional validation confirms that contrast ratio outputs conform to the WCAG 2.1 specification, CVD simulation outputs are consistent with established dichromacy models, and composite scoring reliably differentiates palette quality characteristics across canonical archetypes.</w:t>
      </w:r>
    </w:p>
    <w:p>
      <w:pPr>
        <w:spacing w:after="120" w:before="80"/>
        <w:jc w:val="both"/>
      </w:pPr>
      <w:r>
        <w:rPr>
          <w:rFonts w:ascii="Arial" w:cs="Arial" w:eastAsia="Arial" w:hAnsi="Arial"/>
          <w:b w:val="false"/>
          <w:bCs w:val="false"/>
          <w:i w:val="false"/>
          <w:iCs w:val="false"/>
          <w:color w:val="374151"/>
          <w:sz w:val="22"/>
          <w:szCs w:val="22"/>
        </w:rPr>
        <w:t xml:space="preserve">The deployed prototype demonstrates that a technically rigorous, multi-dimensional color accessibility tool can be delivered as a standalone static asset without sacrificing analytical depth or interactive performance. The principal directions for continued development — anomalous trichromacy modeling, state persistence, and design-token export — are well-defined and do not require architectural changes to the deployed baseline. ChromaCheck is positioned as a practical, immediately deployable resource for designers and developers working toward accessible and emotionally coherent color practice.</w:t>
      </w:r>
    </w:p>
    <w:p>
      <w:pPr>
        <w:spacing w:after="80" w:before="0"/>
      </w:pPr>
    </w:p>
    <w:p>
      <w:pPr>
        <w:pBdr>
          <w:bottom w:val="single" w:color="C3D9FF" w:sz="4" w:space="1"/>
        </w:pBdr>
        <w:spacing w:after="200" w:before="200"/>
      </w:pPr>
    </w:p>
    <w:p>
      <w:pPr>
        <w:pStyle w:val="Heading1"/>
        <w:spacing w:after="160" w:before="360"/>
      </w:pPr>
      <w:r>
        <w:rPr>
          <w:rFonts w:ascii="Arial" w:cs="Arial" w:eastAsia="Arial" w:hAnsi="Arial"/>
          <w:b/>
          <w:bCs/>
          <w:color w:val="1A56DB"/>
          <w:sz w:val="36"/>
          <w:szCs w:val="36"/>
        </w:rPr>
        <w:t xml:space="preserve">References</w:t>
      </w:r>
    </w:p>
    <w:p>
      <w:pPr>
        <w:spacing w:after="80" w:before="80"/>
        <w:ind w:left="720" w:hanging="720"/>
      </w:pPr>
      <w:r>
        <w:rPr>
          <w:rFonts w:ascii="Arial" w:cs="Arial" w:eastAsia="Arial" w:hAnsi="Arial"/>
          <w:color w:val="374151"/>
          <w:sz w:val="20"/>
          <w:szCs w:val="20"/>
        </w:rPr>
        <w:t xml:space="preserve">Brettel, H., Viénot, F., &amp; Mollon, J. D. (1997). Computerized simulation of color appearance for dichromats. Journal of the Optical Society of America A, 14(10), 2647–2655. https://doi.org/10.1364/JOSAA.14.002647</w:t>
      </w:r>
    </w:p>
    <w:p>
      <w:pPr>
        <w:spacing w:after="80" w:before="80"/>
        <w:ind w:left="720" w:hanging="720"/>
      </w:pPr>
      <w:r>
        <w:rPr>
          <w:rFonts w:ascii="Arial" w:cs="Arial" w:eastAsia="Arial" w:hAnsi="Arial"/>
          <w:color w:val="374151"/>
          <w:sz w:val="20"/>
          <w:szCs w:val="20"/>
        </w:rPr>
        <w:t xml:space="preserve">International Electrotechnical Commission. (1999). IEC 61966-2-1: Multimedia systems and equipment — Colour measurement and management — Part 2-1: Colour management — Default RGB colour space — sRGB. IEC.</w:t>
      </w:r>
    </w:p>
    <w:p>
      <w:pPr>
        <w:spacing w:after="80" w:before="80"/>
        <w:ind w:left="720" w:hanging="720"/>
      </w:pPr>
      <w:r>
        <w:rPr>
          <w:rFonts w:ascii="Arial" w:cs="Arial" w:eastAsia="Arial" w:hAnsi="Arial"/>
          <w:color w:val="374151"/>
          <w:sz w:val="20"/>
          <w:szCs w:val="20"/>
        </w:rPr>
        <w:t xml:space="preserve">Madsen, M. V., &amp; Bech, S. (2015). Color harmony: A state of the art. Color Research &amp; Application, 40(4), 380–394. https://doi.org/10.1002/col.21891</w:t>
      </w:r>
    </w:p>
    <w:p>
      <w:pPr>
        <w:spacing w:after="80" w:before="80"/>
        <w:ind w:left="720" w:hanging="720"/>
      </w:pPr>
      <w:r>
        <w:rPr>
          <w:rFonts w:ascii="Arial" w:cs="Arial" w:eastAsia="Arial" w:hAnsi="Arial"/>
          <w:color w:val="374151"/>
          <w:sz w:val="20"/>
          <w:szCs w:val="20"/>
        </w:rPr>
        <w:t xml:space="preserve">Ou, L.-C., Luo, M. R., Woodcock, A., &amp; Wright, A. (2004). A study of colour emotion and colour preference. Part I: Colour emotions for single colours. Color Research &amp; Application, 29(3), 232–240. https://doi.org/10.1002/col.20010</w:t>
      </w:r>
    </w:p>
    <w:p>
      <w:pPr>
        <w:spacing w:after="80" w:before="80"/>
        <w:ind w:left="720" w:hanging="720"/>
      </w:pPr>
      <w:r>
        <w:rPr>
          <w:rFonts w:ascii="Arial" w:cs="Arial" w:eastAsia="Arial" w:hAnsi="Arial"/>
          <w:color w:val="374151"/>
          <w:sz w:val="20"/>
          <w:szCs w:val="20"/>
        </w:rPr>
        <w:t xml:space="preserve">Simunovic, M. P. (2010). Colour vision deficiency. Eye, 24(5), 747–755. https://doi.org/10.1038/eye.2009.251</w:t>
      </w:r>
    </w:p>
    <w:p>
      <w:pPr>
        <w:spacing w:after="80" w:before="80"/>
        <w:ind w:left="720" w:hanging="720"/>
      </w:pPr>
      <w:r>
        <w:rPr>
          <w:rFonts w:ascii="Arial" w:cs="Arial" w:eastAsia="Arial" w:hAnsi="Arial"/>
          <w:color w:val="374151"/>
          <w:sz w:val="20"/>
          <w:szCs w:val="20"/>
        </w:rPr>
        <w:t xml:space="preserve">World Wide Web Consortium. (2018). Web Content Accessibility Guidelines (WCAG) 2.1. W3C Recommendation. https://www.w3.org/TR/WCAG21/</w:t>
      </w:r>
    </w:p>
    <w:p>
      <w:pPr>
        <w:spacing w:after="80" w:before="80"/>
        <w:ind w:left="720" w:hanging="720"/>
      </w:pPr>
      <w:r>
        <w:rPr>
          <w:rFonts w:ascii="Arial" w:cs="Arial" w:eastAsia="Arial" w:hAnsi="Arial"/>
          <w:color w:val="374151"/>
          <w:sz w:val="20"/>
          <w:szCs w:val="20"/>
        </w:rPr>
        <w:t xml:space="preserve">World Wide Web Consortium. (2021). Understanding success criterion 1.4.3: Contrast (minimum). W3C. https://www.w3.org/WAI/WCAG21/Understanding/contrast-minimum.html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D9FF" w:sz="4" w:space="4"/>
      </w:pBdr>
      <w:tabs>
        <w:tab w:val="right" w:pos="9026"/>
      </w:tabs>
      <w:spacing w:after="0" w:before="120"/>
    </w:pPr>
    <w:r>
      <w:rPr>
        <w:rFonts w:ascii="Arial" w:cs="Arial" w:eastAsia="Arial" w:hAnsi="Arial"/>
        <w:color w:val="6B7280"/>
        <w:sz w:val="18"/>
        <w:szCs w:val="18"/>
      </w:rPr>
      <w:t xml:space="preserve">Carl Ernard M. Marcos</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D9FF" w:sz="4" w:space="4"/>
      </w:pBdr>
      <w:tabs>
        <w:tab w:val="right" w:pos="9026"/>
      </w:tabs>
      <w:spacing w:after="160" w:before="0"/>
    </w:pPr>
    <w:r>
      <w:rPr>
        <w:rFonts w:ascii="Arial" w:cs="Arial" w:eastAsia="Arial" w:hAnsi="Arial"/>
        <w:b w:val="false"/>
        <w:bCs w:val="false"/>
        <w:color w:val="6B7280"/>
        <w:sz w:val="18"/>
        <w:szCs w:val="18"/>
      </w:rPr>
      <w:t xml:space="preserve">ChromaCheck — Deployment Performance Report</w:t>
    </w:r>
    <w:r>
      <w:rPr>
        <w:rFonts w:ascii="Arial" w:cs="Arial" w:eastAsia="Arial" w:hAnsi="Arial"/>
        <w:sz w:val="18"/>
        <w:szCs w:val="18"/>
      </w:rPr>
      <w:t xml:space="preserve">	</w:t>
    </w:r>
    <w:r>
      <w:rPr>
        <w:rFonts w:ascii="Arial" w:cs="Arial" w:eastAsia="Arial" w:hAnsi="Arial"/>
        <w:color w:val="6B7280"/>
        <w:sz w:val="18"/>
        <w:szCs w:val="18"/>
      </w:rPr>
      <w:t xml:space="preserve">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j2kml0kqz9lrlah8rl5k" Type="http://schemas.openxmlformats.org/officeDocument/2006/relationships/hyperlink" Target="https://github.com/Aerrind/chroma-check/tree/deploy-prototyp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2026-06-04T18:48:36.278Z</dcterms:created>
  <dcterms:modified xsi:type="dcterms:W3CDTF">2026-06-04T18:48:36.279Z</dcterms:modified>
</cp:coreProperties>
</file>

<file path=docProps/custom.xml><?xml version="1.0" encoding="utf-8"?>
<Properties xmlns="http://schemas.openxmlformats.org/officeDocument/2006/custom-properties" xmlns:vt="http://schemas.openxmlformats.org/officeDocument/2006/docPropsVTypes"/>
</file>