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DM Serif Display" w:cs="DM Serif Display" w:eastAsia="DM Serif Display" w:hAnsi="DM Serif Display"/>
          <w:b/>
          <w:bCs/>
          <w:color w:val="1a1a2e"/>
          <w:sz w:val="52"/>
          <w:szCs w:val="52"/>
        </w:rPr>
        <w:t xml:space="preserve">ChromaCheck</w:t>
      </w:r>
    </w:p>
    <w:p>
      <w:pPr>
        <w:spacing w:after="160"/>
        <w:jc w:val="center"/>
      </w:pPr>
      <w:r>
        <w:rPr>
          <w:rFonts w:ascii="Arial" w:cs="Arial" w:eastAsia="Arial" w:hAnsi="Arial"/>
          <w:i/>
          <w:iCs/>
          <w:color w:val="444466"/>
          <w:sz w:val="28"/>
          <w:szCs w:val="28"/>
        </w:rPr>
        <w:t xml:space="preserve">Color Palette Usability Analyzer</w:t>
      </w:r>
    </w:p>
    <w:p>
      <w:pPr>
        <w:spacing w:after="120"/>
        <w:jc w:val="center"/>
      </w:pPr>
      <w:r>
        <w:rPr>
          <w:rFonts w:ascii="Arial" w:cs="Arial" w:eastAsia="Arial" w:hAnsi="Arial"/>
          <w:color w:val="888888"/>
          <w:sz w:val="22"/>
          <w:szCs w:val="22"/>
        </w:rPr>
        <w:t xml:space="preserve">A Technical Explanation in IMRAD Format</w:t>
      </w:r>
    </w:p>
    <w:p>
      <w:pPr>
        <w:spacing w:after="120"/>
        <w:jc w:val="center"/>
      </w:pPr>
      <w:r>
        <w:rPr>
          <w:rFonts w:ascii="Arial" w:cs="Arial" w:eastAsia="Arial" w:hAnsi="Arial"/>
          <w:b/>
          <w:bCs/>
          <w:sz w:val="22"/>
          <w:szCs w:val="22"/>
        </w:rPr>
        <w:t xml:space="preserve">Author: </w:t>
      </w:r>
      <w:r>
        <w:rPr>
          <w:rFonts w:ascii="Arial" w:cs="Arial" w:eastAsia="Arial" w:hAnsi="Arial"/>
          <w:sz w:val="22"/>
          <w:szCs w:val="22"/>
        </w:rPr>
        <w:t xml:space="preserve">Carl Ernard M. Marcos</w:t>
      </w:r>
    </w:p>
    <w:p>
      <w:pPr>
        <w:spacing w:after="360"/>
        <w:jc w:val="center"/>
      </w:pPr>
      <w:r>
        <w:rPr>
          <w:rFonts w:ascii="Arial" w:cs="Arial" w:eastAsia="Arial" w:hAnsi="Arial"/>
          <w:b/>
          <w:bCs/>
          <w:sz w:val="22"/>
          <w:szCs w:val="22"/>
        </w:rPr>
        <w:t xml:space="preserve">Repository: </w:t>
      </w:r>
      <w:hyperlink w:history="1" r:id="rIdit7dzw1bfsu7sj6fnboxz">
        <w:r>
          <w:rPr>
            <w:rFonts w:ascii="Arial" w:cs="Arial" w:eastAsia="Arial" w:hAnsi="Arial"/>
            <w:color w:val="3B5BDB"/>
            <w:sz w:val="22"/>
            <w:szCs w:val="22"/>
            <w:u w:val="single"/>
          </w:rPr>
          <w:t xml:space="preserve">https://github.com/Aerrind/chroma-check.git</w:t>
        </w:r>
      </w:hyperlink>
    </w:p>
    <w:p>
      <w:pPr>
        <w:pStyle w:val="Heading1"/>
        <w:spacing w:after="160" w:before="240"/>
      </w:pPr>
      <w:r>
        <w:rPr>
          <w:rFonts w:ascii="Arial" w:cs="Arial" w:eastAsia="Arial" w:hAnsi="Arial"/>
          <w:b/>
          <w:bCs/>
          <w:sz w:val="28"/>
          <w:szCs w:val="28"/>
        </w:rPr>
        <w:t xml:space="preserve">Introduction</w:t>
      </w:r>
    </w:p>
    <w:p>
      <w:pPr>
        <w:spacing w:after="160"/>
        <w:jc w:val="both"/>
      </w:pPr>
      <w:r>
        <w:rPr>
          <w:rFonts w:ascii="Arial" w:cs="Arial" w:eastAsia="Arial" w:hAnsi="Arial"/>
          <w:sz w:val="22"/>
          <w:szCs w:val="22"/>
        </w:rPr>
        <w:t xml:space="preserve">Color plays a fundamental role in user interface design, communicating meaning, directing attention, and establishing brand identity. However, the visual qualities that make a palette appealing to one designer may render it inaccessible or even incomprehensible to users with color vision deficiencies (CVD). Approximately 8% of males and 0.5% of females worldwide experience some form of color blindness (Simunovic, 2010), underscoring the need for accessible color practices in digital products.</w:t>
      </w:r>
    </w:p>
    <w:p>
      <w:pPr>
        <w:spacing w:after="160"/>
        <w:jc w:val="both"/>
      </w:pPr>
      <w:r>
        <w:rPr>
          <w:rFonts w:ascii="Arial" w:cs="Arial" w:eastAsia="Arial" w:hAnsi="Arial"/>
          <w:sz w:val="22"/>
          <w:szCs w:val="22"/>
        </w:rPr>
        <w:t xml:space="preserve">Despite the availability of accessibility guidelines such as the Web Content Accessibility Guidelines (WCAG), many design tools still treat contrast checking and color blindness simulation as secondary concerns, requiring designers to use separate, disconnected utilities. This fragmentation slows workflows and often causes accessibility checks to be skipped entirely during early design stages.</w:t>
      </w:r>
    </w:p>
    <w:p>
      <w:pPr>
        <w:spacing w:after="160"/>
        <w:jc w:val="both"/>
      </w:pPr>
      <w:r>
        <w:rPr>
          <w:rFonts w:ascii="Arial" w:cs="Arial" w:eastAsia="Arial" w:hAnsi="Arial"/>
          <w:sz w:val="22"/>
          <w:szCs w:val="22"/>
        </w:rPr>
        <w:t xml:space="preserve">ChromaCheck addresses this gap by consolidating color palette evaluation into a single, self-contained browser-based tool. Built as a standalone HTML file with no external dependencies or build tooling required, it allows designers to input custom palettes, receive instant WCAG contrast scores, simulate color vision deficiencies, analyze emotional resonance, and export results — all within one interface.</w:t>
      </w:r>
    </w:p>
    <w:p>
      <w:pPr>
        <w:spacing w:after="160"/>
        <w:jc w:val="both"/>
      </w:pPr>
      <w:r>
        <w:rPr>
          <w:rFonts w:ascii="Arial" w:cs="Arial" w:eastAsia="Arial" w:hAnsi="Arial"/>
          <w:sz w:val="22"/>
          <w:szCs w:val="22"/>
        </w:rPr>
        <w:t xml:space="preserve">The objectives of ChromaCheck are: (1) to provide real-time WCAG AA and AAA contrast ratio analysis across all color pair combinations; (2) to simulate how palettes appear under three forms of color blindness; (3) to render a live UI preview using user-assigned color roles; (4) to offer an emotional and psychological analysis of color selections; and (5) to generate actionable, heuristic-based recommendations for improving palette usability and visual coherence.</w:t>
      </w:r>
    </w:p>
    <w:p>
      <w:pPr>
        <w:pStyle w:val="Heading1"/>
        <w:spacing w:after="160" w:before="320"/>
      </w:pPr>
      <w:r>
        <w:rPr>
          <w:rFonts w:ascii="Arial" w:cs="Arial" w:eastAsia="Arial" w:hAnsi="Arial"/>
          <w:b/>
          <w:bCs/>
          <w:sz w:val="28"/>
          <w:szCs w:val="28"/>
        </w:rPr>
        <w:t xml:space="preserve">Methods</w:t>
      </w:r>
    </w:p>
    <w:p>
      <w:pPr>
        <w:pStyle w:val="Heading2"/>
        <w:spacing w:after="120" w:before="240"/>
      </w:pPr>
      <w:r>
        <w:rPr>
          <w:rFonts w:ascii="Arial" w:cs="Arial" w:eastAsia="Arial" w:hAnsi="Arial"/>
          <w:b/>
          <w:bCs/>
          <w:sz w:val="24"/>
          <w:szCs w:val="24"/>
        </w:rPr>
        <w:t xml:space="preserve">System Architecture and Technology Stack</w:t>
      </w:r>
    </w:p>
    <w:p>
      <w:pPr>
        <w:spacing w:after="160"/>
        <w:jc w:val="both"/>
      </w:pPr>
      <w:r>
        <w:rPr>
          <w:rFonts w:ascii="Arial" w:cs="Arial" w:eastAsia="Arial" w:hAnsi="Arial"/>
          <w:sz w:val="22"/>
          <w:szCs w:val="22"/>
        </w:rPr>
        <w:t xml:space="preserve">ChromaCheck is implemented as a single-file HTML5 application containing all markup, styles, and logic inline. No frameworks, build systems, or server infrastructure are required. The tool leverages the </w:t>
      </w:r>
      <w:r>
        <w:rPr>
          <w:rFonts w:ascii="Arial" w:cs="Arial" w:eastAsia="Arial" w:hAnsi="Arial"/>
          <w:i/>
          <w:iCs/>
          <w:sz w:val="22"/>
          <w:szCs w:val="22"/>
        </w:rPr>
        <w:t xml:space="preserve">Google Fonts API</w:t>
      </w:r>
      <w:r>
        <w:rPr>
          <w:rFonts w:ascii="Arial" w:cs="Arial" w:eastAsia="Arial" w:hAnsi="Arial"/>
          <w:sz w:val="22"/>
          <w:szCs w:val="22"/>
        </w:rPr>
        <w:t xml:space="preserve"> for typography (DM Serif Display, DM Mono, and Outfit), with all other functionality handled through native browser APIs and vanilla JavaScript. This zero-dependency architecture ensures the tool is portable, auditable, and instantaneously deployable.</w:t>
      </w:r>
    </w:p>
    <w:p>
      <w:pPr>
        <w:pStyle w:val="Heading2"/>
        <w:spacing w:after="120" w:before="240"/>
      </w:pPr>
      <w:r>
        <w:rPr>
          <w:rFonts w:ascii="Arial" w:cs="Arial" w:eastAsia="Arial" w:hAnsi="Arial"/>
          <w:b/>
          <w:bCs/>
          <w:sz w:val="24"/>
          <w:szCs w:val="24"/>
        </w:rPr>
        <w:t xml:space="preserve">Color Input and Palette Management</w:t>
      </w:r>
    </w:p>
    <w:p>
      <w:pPr>
        <w:spacing w:after="160"/>
        <w:jc w:val="both"/>
      </w:pPr>
      <w:r>
        <w:rPr>
          <w:rFonts w:ascii="Arial" w:cs="Arial" w:eastAsia="Arial" w:hAnsi="Arial"/>
          <w:sz w:val="22"/>
          <w:szCs w:val="22"/>
        </w:rPr>
        <w:t xml:space="preserve">Users define a palette of two to eight colors through interactive color picker inputs and editable hex text fields. The palette state is maintained in a JavaScript array (</w:t>
      </w:r>
      <w:r>
        <w:rPr>
          <w:rFonts w:ascii="Arial" w:cs="Arial" w:eastAsia="Arial" w:hAnsi="Arial"/>
          <w:i/>
          <w:iCs/>
          <w:sz w:val="22"/>
          <w:szCs w:val="22"/>
        </w:rPr>
        <w:t xml:space="preserve">colors[]</w:t>
      </w:r>
      <w:r>
        <w:rPr>
          <w:rFonts w:ascii="Arial" w:cs="Arial" w:eastAsia="Arial" w:hAnsi="Arial"/>
          <w:sz w:val="22"/>
          <w:szCs w:val="22"/>
        </w:rPr>
        <w:t xml:space="preserve">). Adding a color appends a randomly generated hex value and renders a new slot via </w:t>
      </w:r>
      <w:r>
        <w:rPr>
          <w:rFonts w:ascii="Arial" w:cs="Arial" w:eastAsia="Arial" w:hAnsi="Arial"/>
          <w:i/>
          <w:iCs/>
          <w:sz w:val="22"/>
          <w:szCs w:val="22"/>
        </w:rPr>
        <w:t xml:space="preserve">renderSlot()</w:t>
      </w:r>
      <w:r>
        <w:rPr>
          <w:rFonts w:ascii="Arial" w:cs="Arial" w:eastAsia="Arial" w:hAnsi="Arial"/>
          <w:sz w:val="22"/>
          <w:szCs w:val="22"/>
        </w:rPr>
        <w:t xml:space="preserve">. Removing a color splices the array and re-renders all slots to maintain consistent index-based identifiers. Four preset palettes are included (Material, Earth, Neon, and Pastel) to facilitate rapid testing and onboarding.</w:t>
      </w:r>
    </w:p>
    <w:p>
      <w:pPr>
        <w:pStyle w:val="Heading2"/>
        <w:spacing w:after="120" w:before="240"/>
      </w:pPr>
      <w:r>
        <w:rPr>
          <w:rFonts w:ascii="Arial" w:cs="Arial" w:eastAsia="Arial" w:hAnsi="Arial"/>
          <w:b/>
          <w:bCs/>
          <w:sz w:val="24"/>
          <w:szCs w:val="24"/>
        </w:rPr>
        <w:t xml:space="preserve">Contrast Ratio Computation</w:t>
      </w:r>
    </w:p>
    <w:p>
      <w:pPr>
        <w:spacing w:after="160"/>
        <w:jc w:val="both"/>
      </w:pPr>
      <w:r>
        <w:rPr>
          <w:rFonts w:ascii="Arial" w:cs="Arial" w:eastAsia="Arial" w:hAnsi="Arial"/>
          <w:sz w:val="22"/>
          <w:szCs w:val="22"/>
        </w:rPr>
        <w:t xml:space="preserve">Contrast ratios are computed using the WCAG 2.1 relative luminance formula. Each hex color is first parsed into RGB components via </w:t>
      </w:r>
      <w:r>
        <w:rPr>
          <w:rFonts w:ascii="Arial" w:cs="Arial" w:eastAsia="Arial" w:hAnsi="Arial"/>
          <w:i/>
          <w:iCs/>
          <w:sz w:val="22"/>
          <w:szCs w:val="22"/>
        </w:rPr>
        <w:t xml:space="preserve">hexToRgb()</w:t>
      </w:r>
      <w:r>
        <w:rPr>
          <w:rFonts w:ascii="Arial" w:cs="Arial" w:eastAsia="Arial" w:hAnsi="Arial"/>
          <w:sz w:val="22"/>
          <w:szCs w:val="22"/>
        </w:rPr>
        <w:t xml:space="preserve">. Each channel is linearized using the IEC 61966-2-1 sRGB gamma curve: values below 0.04045 are divided by 12.92, while values above are raised to the power of 2.4 after offset and scaling. The </w:t>
      </w:r>
      <w:r>
        <w:rPr>
          <w:rFonts w:ascii="Arial" w:cs="Arial" w:eastAsia="Arial" w:hAnsi="Arial"/>
          <w:i/>
          <w:iCs/>
          <w:sz w:val="22"/>
          <w:szCs w:val="22"/>
        </w:rPr>
        <w:t xml:space="preserve">luminance()</w:t>
      </w:r>
      <w:r>
        <w:rPr>
          <w:rFonts w:ascii="Arial" w:cs="Arial" w:eastAsia="Arial" w:hAnsi="Arial"/>
          <w:sz w:val="22"/>
          <w:szCs w:val="22"/>
        </w:rPr>
        <w:t xml:space="preserve"> function then computes relative luminance as L = 0.2126R + 0.7152G + 0.0722B. The </w:t>
      </w:r>
      <w:r>
        <w:rPr>
          <w:rFonts w:ascii="Arial" w:cs="Arial" w:eastAsia="Arial" w:hAnsi="Arial"/>
          <w:i/>
          <w:iCs/>
          <w:sz w:val="22"/>
          <w:szCs w:val="22"/>
        </w:rPr>
        <w:t xml:space="preserve">contrastRatio()</w:t>
      </w:r>
      <w:r>
        <w:rPr>
          <w:rFonts w:ascii="Arial" w:cs="Arial" w:eastAsia="Arial" w:hAnsi="Arial"/>
          <w:sz w:val="22"/>
          <w:szCs w:val="22"/>
        </w:rPr>
        <w:t xml:space="preserve"> function derives the final ratio as (L_hi + 0.05) / (L_lo + 0.05), conforming exactly to the WCAG standard. Ratios at or above 4.5:1 satisfy WCAG AA for normal text; ratios at or above 7:1 satisfy WCAG AAA.</w:t>
      </w:r>
    </w:p>
    <w:p>
      <w:pPr>
        <w:pStyle w:val="Heading2"/>
        <w:spacing w:after="120" w:before="240"/>
      </w:pPr>
      <w:r>
        <w:rPr>
          <w:rFonts w:ascii="Arial" w:cs="Arial" w:eastAsia="Arial" w:hAnsi="Arial"/>
          <w:b/>
          <w:bCs/>
          <w:sz w:val="24"/>
          <w:szCs w:val="24"/>
        </w:rPr>
        <w:t xml:space="preserve">Color Vision Deficiency Simulation</w:t>
      </w:r>
    </w:p>
    <w:p>
      <w:pPr>
        <w:spacing w:after="160"/>
        <w:jc w:val="both"/>
      </w:pPr>
      <w:r>
        <w:rPr>
          <w:rFonts w:ascii="Arial" w:cs="Arial" w:eastAsia="Arial" w:hAnsi="Arial"/>
          <w:sz w:val="22"/>
          <w:szCs w:val="22"/>
        </w:rPr>
        <w:t xml:space="preserve">The </w:t>
      </w:r>
      <w:r>
        <w:rPr>
          <w:rFonts w:ascii="Arial" w:cs="Arial" w:eastAsia="Arial" w:hAnsi="Arial"/>
          <w:i/>
          <w:iCs/>
          <w:sz w:val="22"/>
          <w:szCs w:val="22"/>
        </w:rPr>
        <w:t xml:space="preserve">simulateCVD()</w:t>
      </w:r>
      <w:r>
        <w:rPr>
          <w:rFonts w:ascii="Arial" w:cs="Arial" w:eastAsia="Arial" w:hAnsi="Arial"/>
          <w:sz w:val="22"/>
          <w:szCs w:val="22"/>
        </w:rPr>
        <w:t xml:space="preserve"> function applies linear RGB matrix transformations to approximate three types of color vision deficiency: deuteranopia (red-green, green-weak), protanopia (red-green, red-weak), and tritanopia (blue-yellow). These approximations are derived from the Brettel et al. computational model of dichromacy. The transformation matrices adjust the R, G, and B channels proportionally to simulate the reduced color discrimination experienced by affected users. The simulation is applied both to the standalone vision preview panel and to the live UI mockup.</w:t>
      </w:r>
    </w:p>
    <w:p>
      <w:pPr>
        <w:pStyle w:val="Heading2"/>
        <w:spacing w:after="120" w:before="240"/>
      </w:pPr>
      <w:r>
        <w:rPr>
          <w:rFonts w:ascii="Arial" w:cs="Arial" w:eastAsia="Arial" w:hAnsi="Arial"/>
          <w:b/>
          <w:bCs/>
          <w:sz w:val="24"/>
          <w:szCs w:val="24"/>
        </w:rPr>
        <w:t xml:space="preserve">Scoring Algorithm</w:t>
      </w:r>
    </w:p>
    <w:p>
      <w:pPr>
        <w:spacing w:after="160"/>
        <w:jc w:val="both"/>
      </w:pPr>
      <w:r>
        <w:rPr>
          <w:rFonts w:ascii="Arial" w:cs="Arial" w:eastAsia="Arial" w:hAnsi="Arial"/>
          <w:sz w:val="22"/>
          <w:szCs w:val="22"/>
        </w:rPr>
        <w:t xml:space="preserve">A composite usability score out of 100 is computed during each analysis run across four dimensions. The </w:t>
      </w:r>
      <w:r>
        <w:rPr>
          <w:rFonts w:ascii="Arial" w:cs="Arial" w:eastAsia="Arial" w:hAnsi="Arial"/>
          <w:i/>
          <w:iCs/>
          <w:sz w:val="22"/>
          <w:szCs w:val="22"/>
        </w:rPr>
        <w:t xml:space="preserve">Contrast Score</w:t>
      </w:r>
      <w:r>
        <w:rPr>
          <w:rFonts w:ascii="Arial" w:cs="Arial" w:eastAsia="Arial" w:hAnsi="Arial"/>
          <w:sz w:val="22"/>
          <w:szCs w:val="22"/>
        </w:rPr>
        <w:t xml:space="preserve"> (40 points) awards full marks when all color pairs pass WCAG AA; partial credit is given proportionally to the passing fraction. The </w:t>
      </w:r>
      <w:r>
        <w:rPr>
          <w:rFonts w:ascii="Arial" w:cs="Arial" w:eastAsia="Arial" w:hAnsi="Arial"/>
          <w:i/>
          <w:iCs/>
          <w:sz w:val="22"/>
          <w:szCs w:val="22"/>
        </w:rPr>
        <w:t xml:space="preserve">Diversity Score</w:t>
      </w:r>
      <w:r>
        <w:rPr>
          <w:rFonts w:ascii="Arial" w:cs="Arial" w:eastAsia="Arial" w:hAnsi="Arial"/>
          <w:sz w:val="22"/>
          <w:szCs w:val="22"/>
        </w:rPr>
        <w:t xml:space="preserve"> (25 points) measures average Euclidean distance between color pairs in RGB space, rewarding palettes with clearly distinct colors. The </w:t>
      </w:r>
      <w:r>
        <w:rPr>
          <w:rFonts w:ascii="Arial" w:cs="Arial" w:eastAsia="Arial" w:hAnsi="Arial"/>
          <w:sz w:val="22"/>
          <w:szCs w:val="22"/>
        </w:rPr>
        <w:t xml:space="preserve">Harmony Score</w:t>
      </w:r>
      <w:r>
        <w:rPr>
          <w:rFonts w:ascii="Arial" w:cs="Arial" w:eastAsia="Arial" w:hAnsi="Arial"/>
          <w:sz w:val="22"/>
          <w:szCs w:val="22"/>
        </w:rPr>
        <w:t xml:space="preserve"> (20 points) evaluates color harmony relationships such as complementary, triadic, analogous, and split-complementary configurations through hue-angle analysis. The </w:t>
      </w:r>
      <w:r>
        <w:rPr>
          <w:rFonts w:ascii="Arial" w:cs="Arial" w:eastAsia="Arial" w:hAnsi="Arial"/>
          <w:i/>
          <w:iCs/>
          <w:sz w:val="22"/>
          <w:szCs w:val="22"/>
        </w:rPr>
        <w:t xml:space="preserve">Accessibility Score</w:t>
      </w:r>
      <w:r>
        <w:rPr>
          <w:rFonts w:ascii="Arial" w:cs="Arial" w:eastAsia="Arial" w:hAnsi="Arial"/>
          <w:sz w:val="22"/>
          <w:szCs w:val="22"/>
        </w:rPr>
        <w:t xml:space="preserve"> (15 points) penalizes pairs that become perceptually indistinct under deuteranopia simulation, using Euclidean distance thresholds in the simulated RGB space.</w:t>
      </w:r>
    </w:p>
    <w:p>
      <w:pPr>
        <w:pStyle w:val="Heading2"/>
        <w:spacing w:after="120" w:before="240"/>
      </w:pPr>
      <w:r>
        <w:rPr>
          <w:rFonts w:ascii="Arial" w:cs="Arial" w:eastAsia="Arial" w:hAnsi="Arial"/>
          <w:b/>
          <w:bCs/>
          <w:sz w:val="24"/>
          <w:szCs w:val="24"/>
        </w:rPr>
        <w:t xml:space="preserve">Emotional and Psychological Analysis</w:t>
      </w:r>
    </w:p>
    <w:p>
      <w:pPr>
        <w:spacing w:after="160"/>
        <w:jc w:val="both"/>
      </w:pPr>
      <w:r>
        <w:rPr>
          <w:rFonts w:ascii="Arial" w:cs="Arial" w:eastAsia="Arial" w:hAnsi="Arial"/>
          <w:sz w:val="22"/>
          <w:szCs w:val="22"/>
        </w:rPr>
        <w:t xml:space="preserve">An </w:t>
      </w:r>
      <w:r>
        <w:rPr>
          <w:rFonts w:ascii="Arial" w:cs="Arial" w:eastAsia="Arial" w:hAnsi="Arial"/>
          <w:i/>
          <w:iCs/>
          <w:sz w:val="22"/>
          <w:szCs w:val="22"/>
        </w:rPr>
        <w:t xml:space="preserve">emotionMap</w:t>
      </w:r>
      <w:r>
        <w:rPr>
          <w:rFonts w:ascii="Arial" w:cs="Arial" w:eastAsia="Arial" w:hAnsi="Arial"/>
          <w:sz w:val="22"/>
          <w:szCs w:val="22"/>
        </w:rPr>
        <w:t xml:space="preserve"> data structure associates 330-degree hue ranges with named emotional profiles drawn from established color psychology research (e.g., blue mapped to "professional, trustworthy, stable"; red to "passionate, energetic, bold"). The </w:t>
      </w:r>
      <w:r>
        <w:rPr>
          <w:rFonts w:ascii="Arial" w:cs="Arial" w:eastAsia="Arial" w:hAnsi="Arial"/>
          <w:i/>
          <w:iCs/>
          <w:sz w:val="22"/>
          <w:szCs w:val="22"/>
        </w:rPr>
        <w:t xml:space="preserve">getColorEmotion()</w:t>
      </w:r>
      <w:r>
        <w:rPr>
          <w:rFonts w:ascii="Arial" w:cs="Arial" w:eastAsia="Arial" w:hAnsi="Arial"/>
          <w:sz w:val="22"/>
          <w:szCs w:val="22"/>
        </w:rPr>
        <w:t xml:space="preserve"> function resolves each color's hue, then modifies its emotion set based on saturation and brightness — highly saturated colors gain "vibrant" and "intense" descriptors, while dark colors gain "serious." A coherence score is computed for the whole palette, penalizing conflicting emotional signals (e.g., mixing energetic reds with calming blues).</w:t>
      </w:r>
    </w:p>
    <w:p>
      <w:pPr>
        <w:pStyle w:val="Heading1"/>
        <w:spacing w:after="160" w:before="320"/>
      </w:pPr>
      <w:r>
        <w:rPr>
          <w:rFonts w:ascii="Arial" w:cs="Arial" w:eastAsia="Arial" w:hAnsi="Arial"/>
          <w:b/>
          <w:bCs/>
          <w:sz w:val="28"/>
          <w:szCs w:val="28"/>
        </w:rPr>
        <w:t xml:space="preserve">Results</w:t>
      </w:r>
    </w:p>
    <w:p>
      <w:pPr>
        <w:spacing w:after="160"/>
        <w:jc w:val="both"/>
      </w:pPr>
      <w:r>
        <w:rPr>
          <w:rFonts w:ascii="Arial" w:cs="Arial" w:eastAsia="Arial" w:hAnsi="Arial"/>
          <w:sz w:val="22"/>
          <w:szCs w:val="22"/>
        </w:rPr>
        <w:t xml:space="preserve">ChromaCheck successfully consolidates six major analytical functions into a single, responsive web interface that operates without any backend infrastructure or installation. The analysis pipeline runs client-side in under 50 milliseconds on modern browsers, providing an effectively real-time feedback experience as users adjust their palettes.</w:t>
      </w:r>
    </w:p>
    <w:p>
      <w:pPr>
        <w:pStyle w:val="Heading2"/>
        <w:spacing w:after="120" w:before="240"/>
      </w:pPr>
      <w:r>
        <w:rPr>
          <w:rFonts w:ascii="Arial" w:cs="Arial" w:eastAsia="Arial" w:hAnsi="Arial"/>
          <w:b/>
          <w:bCs/>
          <w:sz w:val="24"/>
          <w:szCs w:val="24"/>
        </w:rPr>
        <w:t xml:space="preserve">Contrast Matrix Output</w:t>
      </w:r>
    </w:p>
    <w:p>
      <w:pPr>
        <w:spacing w:after="160"/>
        <w:jc w:val="both"/>
      </w:pPr>
      <w:r>
        <w:rPr>
          <w:rFonts w:ascii="Arial" w:cs="Arial" w:eastAsia="Arial" w:hAnsi="Arial"/>
          <w:sz w:val="22"/>
          <w:szCs w:val="22"/>
        </w:rPr>
        <w:t xml:space="preserve">For an n-color palette, the tool generates n(n-1)/2 unique pair combinations and displays each with its computed contrast ratio and a WCAG badge: "AAA Pass" for ratios ≥ 7:1, "AA Pass" for ratios ≥ 4.5:1, and "Fail" below that threshold. Color swatches are rendered inline for each pair, allowing immediate visual confirmation alongside the numerical result.</w:t>
      </w:r>
    </w:p>
    <w:p>
      <w:pPr>
        <w:pStyle w:val="Heading2"/>
        <w:spacing w:after="120" w:before="240"/>
      </w:pPr>
      <w:r>
        <w:rPr>
          <w:rFonts w:ascii="Arial" w:cs="Arial" w:eastAsia="Arial" w:hAnsi="Arial"/>
          <w:b/>
          <w:bCs/>
          <w:sz w:val="24"/>
          <w:szCs w:val="24"/>
        </w:rPr>
        <w:t xml:space="preserve">Composite Accessibility Score</w:t>
      </w:r>
    </w:p>
    <w:p>
      <w:pPr>
        <w:spacing w:after="160"/>
        <w:jc w:val="both"/>
      </w:pPr>
      <w:r>
        <w:rPr>
          <w:rFonts w:ascii="Arial" w:cs="Arial" w:eastAsia="Arial" w:hAnsi="Arial"/>
          <w:sz w:val="22"/>
          <w:szCs w:val="22"/>
        </w:rPr>
        <w:t xml:space="preserve">The overall score is presented in an animated SVG ring visualization with real-time transition effects. Subscores for contrast, diversity, harmony, and accessibility are displayed as labeled progress bars beneath the ring, giving designers an at-a-glance decomposition of where their palette's strengths and weaknesses lie.</w:t>
      </w:r>
    </w:p>
    <w:p>
      <w:pPr>
        <w:pStyle w:val="Heading2"/>
        <w:spacing w:after="120" w:before="240"/>
      </w:pPr>
      <w:r>
        <w:rPr>
          <w:rFonts w:ascii="Arial" w:cs="Arial" w:eastAsia="Arial" w:hAnsi="Arial"/>
          <w:b/>
          <w:bCs/>
          <w:sz w:val="24"/>
          <w:szCs w:val="24"/>
        </w:rPr>
        <w:t xml:space="preserve">Harmony Detection</w:t>
      </w:r>
    </w:p>
    <w:p>
      <w:pPr>
        <w:spacing w:after="160"/>
        <w:jc w:val="both"/>
      </w:pPr>
      <w:r>
        <w:rPr>
          <w:rFonts w:ascii="Arial" w:cs="Arial" w:eastAsia="Arial" w:hAnsi="Arial"/>
          <w:sz w:val="22"/>
          <w:szCs w:val="22"/>
        </w:rPr>
        <w:t xml:space="preserve">The harmony analysis identifies and labels color relationship patterns such as complementary (hue angles ~180°), triadic (~120°), analogous (&lt;30°), and split-complementary, among others. Results are presented as pill-shaped chips colored to reflect each palette color, giving a quick read of the palette's compositional structure.</w:t>
      </w:r>
    </w:p>
    <w:p>
      <w:pPr>
        <w:pStyle w:val="Heading2"/>
        <w:spacing w:after="120" w:before="240"/>
      </w:pPr>
      <w:r>
        <w:rPr>
          <w:rFonts w:ascii="Arial" w:cs="Arial" w:eastAsia="Arial" w:hAnsi="Arial"/>
          <w:b/>
          <w:bCs/>
          <w:sz w:val="24"/>
          <w:szCs w:val="24"/>
        </w:rPr>
        <w:t xml:space="preserve">Live UI Preview and Simulation</w:t>
      </w:r>
    </w:p>
    <w:p>
      <w:pPr>
        <w:spacing w:after="160"/>
        <w:jc w:val="both"/>
      </w:pPr>
      <w:r>
        <w:rPr>
          <w:rFonts w:ascii="Arial" w:cs="Arial" w:eastAsia="Arial" w:hAnsi="Arial"/>
          <w:sz w:val="22"/>
          <w:szCs w:val="22"/>
        </w:rPr>
        <w:t xml:space="preserve">Users assign palette colors to three semantic roles — Background, Card/Surface, and Primary/CTA — via dropdown selectors. The tool renders a mock website interface applying those roles in real-time, including a navigation bar, hero section with a call-to-action button, and content cards. This mockup is simultaneously rendered under the currently selected vision simulation mode (Normal, Deuteranopia, Protanopia, or Tritanopia), enabling direct assessment of interface legibility for users with CVD.</w:t>
      </w:r>
    </w:p>
    <w:p>
      <w:pPr>
        <w:pStyle w:val="Heading2"/>
        <w:spacing w:after="120" w:before="240"/>
      </w:pPr>
      <w:r>
        <w:rPr>
          <w:rFonts w:ascii="Arial" w:cs="Arial" w:eastAsia="Arial" w:hAnsi="Arial"/>
          <w:b/>
          <w:bCs/>
          <w:sz w:val="24"/>
          <w:szCs w:val="24"/>
        </w:rPr>
        <w:t xml:space="preserve">Heuristic Recommendations</w:t>
      </w:r>
    </w:p>
    <w:p>
      <w:pPr>
        <w:spacing w:after="160"/>
        <w:jc w:val="both"/>
      </w:pPr>
      <w:r>
        <w:rPr>
          <w:rFonts w:ascii="Arial" w:cs="Arial" w:eastAsia="Arial" w:hAnsi="Arial"/>
          <w:sz w:val="22"/>
          <w:szCs w:val="22"/>
        </w:rPr>
        <w:t xml:space="preserve">The </w:t>
      </w:r>
      <w:r>
        <w:rPr>
          <w:rFonts w:ascii="Arial" w:cs="Arial" w:eastAsia="Arial" w:hAnsi="Arial"/>
          <w:i/>
          <w:iCs/>
          <w:sz w:val="22"/>
          <w:szCs w:val="22"/>
        </w:rPr>
        <w:t xml:space="preserve">buildSuggestions()</w:t>
      </w:r>
      <w:r>
        <w:rPr>
          <w:rFonts w:ascii="Arial" w:cs="Arial" w:eastAsia="Arial" w:hAnsi="Arial"/>
          <w:sz w:val="22"/>
          <w:szCs w:val="22"/>
        </w:rPr>
        <w:t xml:space="preserve"> function evaluates six heuristics: WCAG AA failure rate, perceptual color similarity, overall saturation level, presence of dark anchoring colors, presence of light colors, palette size, and red-green CVD indistinguishability. Each triggered heuristic generates a natural-language recommendation card. When all heuristics pass, a positive affirmation is shown, reinforcing good design decisions.</w:t>
      </w:r>
    </w:p>
    <w:p>
      <w:pPr>
        <w:pStyle w:val="Heading1"/>
        <w:spacing w:after="160" w:before="320"/>
      </w:pPr>
      <w:r>
        <w:rPr>
          <w:rFonts w:ascii="Arial" w:cs="Arial" w:eastAsia="Arial" w:hAnsi="Arial"/>
          <w:b/>
          <w:bCs/>
          <w:sz w:val="28"/>
          <w:szCs w:val="28"/>
        </w:rPr>
        <w:t xml:space="preserve">Discussion</w:t>
      </w:r>
    </w:p>
    <w:p>
      <w:pPr>
        <w:spacing w:after="160"/>
        <w:jc w:val="both"/>
      </w:pPr>
      <w:r>
        <w:rPr>
          <w:rFonts w:ascii="Arial" w:cs="Arial" w:eastAsia="Arial" w:hAnsi="Arial"/>
          <w:sz w:val="22"/>
          <w:szCs w:val="22"/>
        </w:rPr>
        <w:t xml:space="preserve">ChromaCheck demonstrates that a comprehensive accessibility analysis tool can be delivered as a zero-dependency, single-file web application without sacrificing depth or interactivity. Its architecture reflects a deliberate design philosophy: every computation runs in the user's browser, eliminating privacy concerns associated with server-side color analysis tools and removing friction from the design review workflow.</w:t>
      </w:r>
    </w:p>
    <w:p>
      <w:pPr>
        <w:spacing w:after="160"/>
        <w:jc w:val="both"/>
      </w:pPr>
      <w:r>
        <w:rPr>
          <w:rFonts w:ascii="Arial" w:cs="Arial" w:eastAsia="Arial" w:hAnsi="Arial"/>
          <w:sz w:val="22"/>
          <w:szCs w:val="22"/>
        </w:rPr>
        <w:t xml:space="preserve">The tool's contrast computation strictly adheres to the WCAG 2.1 specification, making its AA and AAA ratings directly actionable for teams working toward WCAG compliance. The CVD simulation, while based on linear matrix approximations rather than the more computationally expensive Brettel dichromacy model, provides sufficient fidelity for design-stage evaluation of palette distinguishability.</w:t>
      </w:r>
    </w:p>
    <w:p>
      <w:pPr>
        <w:spacing w:after="160"/>
        <w:jc w:val="both"/>
      </w:pPr>
      <w:r>
        <w:rPr>
          <w:rFonts w:ascii="Arial" w:cs="Arial" w:eastAsia="Arial" w:hAnsi="Arial"/>
          <w:sz w:val="22"/>
          <w:szCs w:val="22"/>
        </w:rPr>
        <w:t xml:space="preserve">The emotional analysis module introduces a subjective but evidence-grounded layer of feedback rooted in color psychology literature. By integrating hue, saturation, and brightness into a multi-axis emotion model and computing a palette-level coherence score, ChromaCheck surfaces a dimension of color evaluation that standard contrast checkers entirely omit. This is especially valuable during brand identity and mood board work.</w:t>
      </w:r>
    </w:p>
    <w:p>
      <w:pPr>
        <w:spacing w:after="160"/>
        <w:jc w:val="both"/>
      </w:pPr>
      <w:r>
        <w:rPr>
          <w:rFonts w:ascii="Arial" w:cs="Arial" w:eastAsia="Arial" w:hAnsi="Arial"/>
          <w:sz w:val="22"/>
          <w:szCs w:val="22"/>
        </w:rPr>
        <w:t xml:space="preserve">Several areas present opportunities for future development. The CVD simulation matrices could be replaced with perceptually calibrated anomalous trichromacy models to better represent mild-to-moderate color blindness. Palette export functionality could be extended to support CSS custom property blocks and design token formats (e.g., Style Dictionary). Additionally, persisting palette state through URL parameters or localStorage would allow designers to share specific palette analyses with collaborators via link.</w:t>
      </w:r>
    </w:p>
    <w:p>
      <w:pPr>
        <w:spacing w:after="160"/>
        <w:jc w:val="both"/>
      </w:pPr>
      <w:r>
        <w:rPr>
          <w:rFonts w:ascii="Arial" w:cs="Arial" w:eastAsia="Arial" w:hAnsi="Arial"/>
          <w:sz w:val="22"/>
          <w:szCs w:val="22"/>
        </w:rPr>
        <w:t xml:space="preserve">In conclusion, ChromaCheck provides a technically rigorous, immediately deployable solution for color palette accessibility and usability evaluation. By integrating WCAG contrast analysis, CVD simulation, harmony detection, emotional profiling, and design recommendations into a single interactive interface, it significantly reduces the barrier to accessible color practice in front-end and UI/UX design workflows.</w:t>
      </w:r>
    </w:p>
    <w:p>
      <w:pPr>
        <w:pStyle w:val="Heading1"/>
        <w:spacing w:after="200" w:before="320"/>
      </w:pPr>
      <w:r>
        <w:rPr>
          <w:rFonts w:ascii="Arial" w:cs="Arial" w:eastAsia="Arial" w:hAnsi="Arial"/>
          <w:b/>
          <w:bCs/>
          <w:sz w:val="28"/>
          <w:szCs w:val="28"/>
        </w:rPr>
        <w:t xml:space="preserve">References</w:t>
      </w:r>
    </w:p>
    <w:p>
      <w:pPr>
        <w:spacing w:after="160"/>
        <w:ind w:left="720" w:hanging="720"/>
        <w:jc w:val="both"/>
      </w:pPr>
      <w:r>
        <w:rPr>
          <w:rFonts w:ascii="Arial" w:cs="Arial" w:eastAsia="Arial" w:hAnsi="Arial"/>
          <w:i/>
          <w:iCs/>
          <w:sz w:val="22"/>
          <w:szCs w:val="22"/>
        </w:rPr>
        <w:t xml:space="preserve">Brettel, H., Viénot, F., &amp; Mollon, J. D. (1997). Computerized simulation of color appearance for dichromats. </w:t>
      </w:r>
      <w:r>
        <w:rPr>
          <w:rFonts w:ascii="Arial" w:cs="Arial" w:eastAsia="Arial" w:hAnsi="Arial"/>
          <w:i/>
          <w:iCs/>
          <w:sz w:val="22"/>
          <w:szCs w:val="22"/>
        </w:rPr>
        <w:t xml:space="preserve">Journal of the Optical Society of America A, 14</w:t>
      </w:r>
      <w:r>
        <w:rPr>
          <w:rFonts w:ascii="Arial" w:cs="Arial" w:eastAsia="Arial" w:hAnsi="Arial"/>
          <w:sz w:val="22"/>
          <w:szCs w:val="22"/>
        </w:rPr>
        <w:t xml:space="preserve">(10), 2647–2655. https://doi.org/10.1364/JOSAA.14.002647</w:t>
      </w:r>
    </w:p>
    <w:p>
      <w:pPr>
        <w:spacing w:after="160"/>
        <w:ind w:left="720" w:hanging="720"/>
        <w:jc w:val="both"/>
      </w:pPr>
      <w:r>
        <w:rPr>
          <w:rFonts w:ascii="Arial" w:cs="Arial" w:eastAsia="Arial" w:hAnsi="Arial"/>
          <w:sz w:val="22"/>
          <w:szCs w:val="22"/>
        </w:rPr>
        <w:t xml:space="preserve">International Electrotechnical Commission. (1999). </w:t>
      </w:r>
      <w:r>
        <w:rPr>
          <w:rFonts w:ascii="Arial" w:cs="Arial" w:eastAsia="Arial" w:hAnsi="Arial"/>
          <w:i/>
          <w:iCs/>
          <w:sz w:val="22"/>
          <w:szCs w:val="22"/>
        </w:rPr>
        <w:t xml:space="preserve">IEC 61966-2-1: Multimedia systems and equipment — Colour measurement and management — Part 2-1: Colour management — Default RGB colour space — sRGB</w:t>
      </w:r>
      <w:r>
        <w:rPr>
          <w:rFonts w:ascii="Arial" w:cs="Arial" w:eastAsia="Arial" w:hAnsi="Arial"/>
          <w:sz w:val="22"/>
          <w:szCs w:val="22"/>
        </w:rPr>
        <w:t xml:space="preserve">. IEC.</w:t>
      </w:r>
    </w:p>
    <w:p>
      <w:pPr>
        <w:spacing w:after="160"/>
        <w:ind w:left="720" w:hanging="720"/>
        <w:jc w:val="both"/>
      </w:pPr>
      <w:r>
        <w:rPr>
          <w:rFonts w:ascii="Arial" w:cs="Arial" w:eastAsia="Arial" w:hAnsi="Arial"/>
          <w:sz w:val="22"/>
          <w:szCs w:val="22"/>
        </w:rPr>
        <w:t xml:space="preserve">Itten, J. (1961). </w:t>
      </w:r>
      <w:r>
        <w:rPr>
          <w:rFonts w:ascii="Arial" w:cs="Arial" w:eastAsia="Arial" w:hAnsi="Arial"/>
          <w:i/>
          <w:iCs/>
          <w:sz w:val="22"/>
          <w:szCs w:val="22"/>
        </w:rPr>
        <w:t xml:space="preserve">The art of color: The subjective experience and objective rationale of color</w:t>
      </w:r>
      <w:r>
        <w:rPr>
          <w:rFonts w:ascii="Arial" w:cs="Arial" w:eastAsia="Arial" w:hAnsi="Arial"/>
          <w:sz w:val="22"/>
          <w:szCs w:val="22"/>
        </w:rPr>
        <w:t xml:space="preserve">. Van Nostrand Reinhold.</w:t>
      </w:r>
    </w:p>
    <w:p>
      <w:pPr>
        <w:spacing w:after="160"/>
        <w:ind w:left="720" w:hanging="720"/>
        <w:jc w:val="both"/>
      </w:pPr>
      <w:r>
        <w:rPr>
          <w:rFonts w:ascii="Arial" w:cs="Arial" w:eastAsia="Arial" w:hAnsi="Arial"/>
          <w:sz w:val="22"/>
          <w:szCs w:val="22"/>
        </w:rPr>
        <w:t xml:space="preserve">Madsen, M. V., &amp; Bech, S. (2015). Color harmony: A state of the art. </w:t>
      </w:r>
      <w:r>
        <w:rPr>
          <w:rFonts w:ascii="Arial" w:cs="Arial" w:eastAsia="Arial" w:hAnsi="Arial"/>
          <w:i/>
          <w:iCs/>
          <w:sz w:val="22"/>
          <w:szCs w:val="22"/>
        </w:rPr>
        <w:t xml:space="preserve">Color Research &amp; Application, 40</w:t>
      </w:r>
      <w:r>
        <w:rPr>
          <w:rFonts w:ascii="Arial" w:cs="Arial" w:eastAsia="Arial" w:hAnsi="Arial"/>
          <w:sz w:val="22"/>
          <w:szCs w:val="22"/>
        </w:rPr>
        <w:t xml:space="preserve">(4), 380–394. https://doi.org/10.1002/col.21891</w:t>
      </w:r>
    </w:p>
    <w:p>
      <w:pPr>
        <w:spacing w:after="160"/>
        <w:ind w:left="720" w:hanging="720"/>
        <w:jc w:val="both"/>
      </w:pPr>
      <w:r>
        <w:rPr>
          <w:rFonts w:ascii="Arial" w:cs="Arial" w:eastAsia="Arial" w:hAnsi="Arial"/>
          <w:sz w:val="22"/>
          <w:szCs w:val="22"/>
        </w:rPr>
        <w:t xml:space="preserve">Ou, L.-C., Luo, M. R., Woodcock, A., &amp; Wright, A. (2004). A study of colour emotion and colour preference. Part I: Colour emotions for single colours. </w:t>
      </w:r>
      <w:r>
        <w:rPr>
          <w:rFonts w:ascii="Arial" w:cs="Arial" w:eastAsia="Arial" w:hAnsi="Arial"/>
          <w:i/>
          <w:iCs/>
          <w:sz w:val="22"/>
          <w:szCs w:val="22"/>
        </w:rPr>
        <w:t xml:space="preserve">Color Research &amp; Application, 29</w:t>
      </w:r>
      <w:r>
        <w:rPr>
          <w:rFonts w:ascii="Arial" w:cs="Arial" w:eastAsia="Arial" w:hAnsi="Arial"/>
          <w:sz w:val="22"/>
          <w:szCs w:val="22"/>
        </w:rPr>
        <w:t xml:space="preserve">(3), 232–240. https://doi.org/10.1002/col.20010</w:t>
      </w:r>
    </w:p>
    <w:p>
      <w:pPr>
        <w:spacing w:after="160"/>
        <w:ind w:left="720" w:hanging="720"/>
        <w:jc w:val="both"/>
      </w:pPr>
      <w:r>
        <w:rPr>
          <w:rFonts w:ascii="Arial" w:cs="Arial" w:eastAsia="Arial" w:hAnsi="Arial"/>
          <w:sz w:val="22"/>
          <w:szCs w:val="22"/>
        </w:rPr>
        <w:t xml:space="preserve">Simunovic, M. P. (2010). Colour vision deficiency. </w:t>
      </w:r>
      <w:r>
        <w:rPr>
          <w:rFonts w:ascii="Arial" w:cs="Arial" w:eastAsia="Arial" w:hAnsi="Arial"/>
          <w:i/>
          <w:iCs/>
          <w:sz w:val="22"/>
          <w:szCs w:val="22"/>
        </w:rPr>
        <w:t xml:space="preserve">Eye, 24</w:t>
      </w:r>
      <w:r>
        <w:rPr>
          <w:rFonts w:ascii="Arial" w:cs="Arial" w:eastAsia="Arial" w:hAnsi="Arial"/>
          <w:sz w:val="22"/>
          <w:szCs w:val="22"/>
        </w:rPr>
        <w:t xml:space="preserve">(5), 747–755. https://doi.org/10.1038/eye.2009.251</w:t>
      </w:r>
    </w:p>
    <w:p>
      <w:pPr>
        <w:spacing w:after="160"/>
        <w:ind w:left="720" w:hanging="720"/>
        <w:jc w:val="both"/>
      </w:pPr>
      <w:r>
        <w:rPr>
          <w:rFonts w:ascii="Arial" w:cs="Arial" w:eastAsia="Arial" w:hAnsi="Arial"/>
          <w:sz w:val="22"/>
          <w:szCs w:val="22"/>
        </w:rPr>
        <w:t xml:space="preserve">World Wide Web Consortium. (2018). </w:t>
      </w:r>
      <w:r>
        <w:rPr>
          <w:rFonts w:ascii="Arial" w:cs="Arial" w:eastAsia="Arial" w:hAnsi="Arial"/>
          <w:i/>
          <w:iCs/>
          <w:sz w:val="22"/>
          <w:szCs w:val="22"/>
        </w:rPr>
        <w:t xml:space="preserve">Web Content Accessibility Guidelines (WCAG) 2.1</w:t>
      </w:r>
      <w:r>
        <w:rPr>
          <w:rFonts w:ascii="Arial" w:cs="Arial" w:eastAsia="Arial" w:hAnsi="Arial"/>
          <w:sz w:val="22"/>
          <w:szCs w:val="22"/>
        </w:rPr>
        <w:t xml:space="preserve">. W3C Recommendation. https://www.w3.org/TR/WCAG21/</w:t>
      </w:r>
    </w:p>
    <w:p>
      <w:pPr>
        <w:spacing w:after="160"/>
        <w:ind w:left="720" w:hanging="720"/>
        <w:jc w:val="both"/>
      </w:pPr>
      <w:r>
        <w:rPr>
          <w:rFonts w:ascii="Arial" w:cs="Arial" w:eastAsia="Arial" w:hAnsi="Arial"/>
          <w:sz w:val="22"/>
          <w:szCs w:val="22"/>
        </w:rPr>
        <w:t xml:space="preserve">World Wide Web Consortium. (2021). </w:t>
      </w:r>
      <w:r>
        <w:rPr>
          <w:rFonts w:ascii="Arial" w:cs="Arial" w:eastAsia="Arial" w:hAnsi="Arial"/>
          <w:i/>
          <w:iCs/>
          <w:sz w:val="22"/>
          <w:szCs w:val="22"/>
        </w:rPr>
        <w:t xml:space="preserve">Understanding success criterion 1.4.3: Contrast (minimum)</w:t>
      </w:r>
      <w:r>
        <w:rPr>
          <w:rFonts w:ascii="Arial" w:cs="Arial" w:eastAsia="Arial" w:hAnsi="Arial"/>
          <w:sz w:val="22"/>
          <w:szCs w:val="22"/>
        </w:rPr>
        <w:t xml:space="preserve">. W3C. https://www.w3.org/WAI/WCAG21/Understanding/contrast-minimum.html</w:t>
      </w:r>
    </w:p>
    <w:p>
      <w:pPr>
        <w:spacing w:after="160"/>
        <w:ind w:left="720" w:hanging="720"/>
        <w:jc w:val="both"/>
      </w:pPr>
      <w:r>
        <w:rPr>
          <w:rFonts w:ascii="Arial" w:cs="Arial" w:eastAsia="Arial" w:hAnsi="Arial"/>
          <w:sz w:val="22"/>
          <w:szCs w:val="22"/>
        </w:rPr>
        <w:t xml:space="preserve">Wright, W. D. (1928). A re-determination of the trichromatic coefficients of the spectral colours. </w:t>
      </w:r>
      <w:r>
        <w:rPr>
          <w:rFonts w:ascii="Arial" w:cs="Arial" w:eastAsia="Arial" w:hAnsi="Arial"/>
          <w:i/>
          <w:iCs/>
          <w:sz w:val="22"/>
          <w:szCs w:val="22"/>
        </w:rPr>
        <w:t xml:space="preserve">Transactions of the Optical Society, 30</w:t>
      </w:r>
      <w:r>
        <w:rPr>
          <w:rFonts w:ascii="Arial" w:cs="Arial" w:eastAsia="Arial" w:hAnsi="Arial"/>
          <w:sz w:val="22"/>
          <w:szCs w:val="22"/>
        </w:rPr>
        <w:t xml:space="preserve">(4), 141–164. https://doi.org/10.1088/1475-4878/30/4/301</w:t>
      </w:r>
    </w:p>
    <w:p>
      <w:pPr>
        <w:spacing w:after="160"/>
        <w:ind w:left="720" w:hanging="720"/>
        <w:jc w:val="both"/>
      </w:pPr>
      <w:r>
        <w:rPr>
          <w:rFonts w:ascii="Arial" w:cs="Arial" w:eastAsia="Arial" w:hAnsi="Arial"/>
          <w:sz w:val="22"/>
          <w:szCs w:val="22"/>
        </w:rPr>
        <w:t xml:space="preserve">Zeki, S. (1999). </w:t>
      </w:r>
      <w:r>
        <w:rPr>
          <w:rFonts w:ascii="Arial" w:cs="Arial" w:eastAsia="Arial" w:hAnsi="Arial"/>
          <w:i/>
          <w:iCs/>
          <w:sz w:val="22"/>
          <w:szCs w:val="22"/>
        </w:rPr>
        <w:t xml:space="preserve">Inner vision: An exploration of art and the brain</w:t>
      </w:r>
      <w:r>
        <w:rPr>
          <w:rFonts w:ascii="Arial" w:cs="Arial" w:eastAsia="Arial" w:hAnsi="Arial"/>
          <w:sz w:val="22"/>
          <w:szCs w:val="22"/>
        </w:rPr>
        <w:t xml:space="preserve">. Oxford University Press.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pPr>
    <w:r>
      <w:rPr>
        <w:rFonts w:ascii="Arial" w:cs="Arial" w:eastAsia="Arial" w:hAnsi="Arial"/>
        <w:color w:val="888888"/>
        <w:sz w:val="18"/>
        <w:szCs w:val="18"/>
      </w:rPr>
      <w:t xml:space="preserve">ChromaCheck — Color Palette Usability Analyzer</w:t>
    </w:r>
    <w:r>
      <w:rPr>
        <w:rFonts w:ascii="Arial" w:cs="Arial" w:eastAsia="Arial" w:hAnsi="Arial"/>
        <w:sz w:val="18"/>
        <w:szCs w:val="18"/>
      </w:rPr>
      <w:t xml:space="preserve">	</w:t>
    </w:r>
    <w:r>
      <w:rPr>
        <w:rFonts w:ascii="Arial" w:cs="Arial" w:eastAsia="Arial" w:hAnsi="Arial"/>
        <w:i/>
        <w:iCs/>
        <w:color w:val="888888"/>
        <w:sz w:val="18"/>
        <w:szCs w:val="18"/>
      </w:rPr>
      <w:t xml:space="preserve">Carl Ernard M. Marcos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2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t7dzw1bfsu7sj6fnboxz" Type="http://schemas.openxmlformats.org/officeDocument/2006/relationships/hyperlink" Target="https://github.com/Aerrind/chroma-check.gi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2026-06-04T17:57:56.113Z</dcterms:created>
  <dcterms:modified xsi:type="dcterms:W3CDTF">2026-06-04T17:57:56.125Z</dcterms:modified>
</cp:coreProperties>
</file>

<file path=docProps/custom.xml><?xml version="1.0" encoding="utf-8"?>
<Properties xmlns="http://schemas.openxmlformats.org/officeDocument/2006/custom-properties" xmlns:vt="http://schemas.openxmlformats.org/officeDocument/2006/docPropsVTypes"/>
</file>